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B08C" w14:textId="185EF578" w:rsidR="00BC1AB3" w:rsidRDefault="00536930">
      <w:pPr>
        <w:rPr>
          <w:b/>
          <w:bCs/>
        </w:rPr>
      </w:pPr>
      <w:r>
        <w:rPr>
          <w:noProof/>
        </w:rPr>
        <w:drawing>
          <wp:inline distT="0" distB="0" distL="0" distR="0" wp14:anchorId="0DFBCAE6" wp14:editId="5BEF169E">
            <wp:extent cx="1895185" cy="1003935"/>
            <wp:effectExtent l="0" t="0" r="0" b="0"/>
            <wp:docPr id="3" name="Picture 3" descr="Y:\Branding and Web Design\Three Rock Capital Mai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Branding and Web Design\Three Rock Capital Main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96" cy="100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36BC" w14:textId="77777777" w:rsidR="005855A6" w:rsidRDefault="005855A6">
      <w:pPr>
        <w:rPr>
          <w:b/>
          <w:bCs/>
        </w:rPr>
      </w:pPr>
    </w:p>
    <w:p w14:paraId="0367A7E7" w14:textId="4E66D032" w:rsidR="005855A6" w:rsidRDefault="00FE1E2C">
      <w:pPr>
        <w:rPr>
          <w:b/>
          <w:bCs/>
        </w:rPr>
      </w:pPr>
      <w:r>
        <w:rPr>
          <w:b/>
        </w:rPr>
        <w:t xml:space="preserve">Premium Selection UCITS ICAV </w:t>
      </w:r>
    </w:p>
    <w:p w14:paraId="2DBCA78C" w14:textId="77777777" w:rsidR="005855A6" w:rsidRDefault="005855A6">
      <w:pPr>
        <w:rPr>
          <w:b/>
          <w:bCs/>
        </w:rPr>
      </w:pPr>
    </w:p>
    <w:p w14:paraId="4622AC0B" w14:textId="3AA105C3" w:rsidR="00FE1E2C" w:rsidRPr="00BC1AB3" w:rsidRDefault="005855A6">
      <w:pPr>
        <w:rPr>
          <w:b/>
          <w:bCs/>
        </w:rPr>
      </w:pPr>
      <w:r>
        <w:rPr>
          <w:b/>
        </w:rPr>
        <w:t>Julius Baer Edelweiss Swiss Equity – podfond fondu Premium Selection UCITS ICAV– SFDR zveřejňuje dokument souhrnných informací – 7. 6. 2024</w:t>
      </w:r>
    </w:p>
    <w:p w14:paraId="16E6156F" w14:textId="32CA1CA9" w:rsidR="00B74F98" w:rsidRPr="00A26E08" w:rsidRDefault="00FE1E2C" w:rsidP="00B74F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0"/>
        </w:rPr>
      </w:pPr>
      <w:r>
        <w:rPr>
          <w:rStyle w:val="Emphasis"/>
          <w:rFonts w:asciiTheme="minorHAnsi" w:hAnsiTheme="minorHAnsi"/>
          <w:b/>
          <w:i w:val="0"/>
          <w:sz w:val="20"/>
          <w:bdr w:val="none" w:sz="0" w:space="0" w:color="auto" w:frame="1"/>
        </w:rPr>
        <w:t>Cíl udržitelného investování</w:t>
      </w:r>
      <w:r>
        <w:t xml:space="preserve"> – </w:t>
      </w:r>
      <w:r w:rsidRPr="00A26E08">
        <w:rPr>
          <w:rFonts w:asciiTheme="minorHAnsi" w:hAnsiTheme="minorHAnsi"/>
          <w:sz w:val="20"/>
        </w:rPr>
        <w:t>Fond prosazuje ekologické nebo sociální charakteristiky, ale nemá za cíl udržitelné investice</w:t>
      </w:r>
      <w:r>
        <w:rPr>
          <w:rFonts w:asciiTheme="minorHAnsi" w:hAnsiTheme="minorHAnsi"/>
          <w:sz w:val="20"/>
        </w:rPr>
        <w:t>.</w:t>
      </w:r>
    </w:p>
    <w:p w14:paraId="0EF770F2" w14:textId="77777777" w:rsidR="00B74F98" w:rsidRPr="00536930" w:rsidRDefault="00B74F98" w:rsidP="00B74F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60ADB336" w14:textId="0EBA3C04" w:rsidR="006A0066" w:rsidRPr="00536930" w:rsidRDefault="00FE1E2C" w:rsidP="00B74F9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666666"/>
          <w:sz w:val="20"/>
          <w:szCs w:val="20"/>
          <w:bdr w:val="none" w:sz="0" w:space="0" w:color="auto" w:frame="1"/>
        </w:rPr>
      </w:pPr>
      <w:r>
        <w:rPr>
          <w:rStyle w:val="Emphasis"/>
          <w:rFonts w:asciiTheme="minorHAnsi" w:hAnsiTheme="minorHAnsi"/>
          <w:b/>
          <w:i w:val="0"/>
          <w:sz w:val="20"/>
          <w:bdr w:val="none" w:sz="0" w:space="0" w:color="auto" w:frame="1"/>
        </w:rPr>
        <w:t>Ekologické/sociální charakteristiky fondu</w:t>
      </w:r>
      <w:r>
        <w:t xml:space="preserve"> – </w:t>
      </w:r>
      <w:r w:rsidRPr="00A26E08">
        <w:rPr>
          <w:rFonts w:asciiTheme="minorHAnsi" w:hAnsiTheme="minorHAnsi"/>
          <w:sz w:val="20"/>
        </w:rPr>
        <w:t>Fond prosazuje následující ekologické a sociální charakteristiky</w:t>
      </w:r>
      <w:r>
        <w:rPr>
          <w:rFonts w:asciiTheme="minorHAnsi" w:hAnsiTheme="minorHAnsi"/>
          <w:sz w:val="20"/>
        </w:rPr>
        <w:t xml:space="preserve">: *Zmírnění změny klimatu a adaptace; *Zachování biologické rozmanitosti; *Vhodné pracovní podmínky pro zaměstnance;*Respektování standardů globálních norem. </w:t>
      </w:r>
    </w:p>
    <w:p w14:paraId="701A8DFC" w14:textId="77777777" w:rsidR="00B74F98" w:rsidRPr="00536930" w:rsidRDefault="00FE1E2C" w:rsidP="00B74F98">
      <w:pPr>
        <w:pStyle w:val="Default"/>
        <w:rPr>
          <w:rFonts w:cstheme="minorHAnsi"/>
          <w:sz w:val="20"/>
          <w:szCs w:val="20"/>
        </w:rPr>
      </w:pPr>
      <w:r>
        <w:rPr>
          <w:sz w:val="20"/>
        </w:rPr>
        <w:t xml:space="preserve">Aby si Fond udržel svůj profil ekologického a sociálního způsobu řízení (ESG), musí investovat do nástrojů, které splňují prahové hodnoty stanovené vlastní metodikou investičního manažera pro </w:t>
      </w:r>
      <w:r>
        <w:rPr>
          <w:b/>
          <w:sz w:val="20"/>
        </w:rPr>
        <w:t>hodnocení udržitelných investic</w:t>
      </w:r>
      <w:r>
        <w:rPr>
          <w:sz w:val="20"/>
        </w:rPr>
        <w:t>.</w:t>
      </w:r>
    </w:p>
    <w:p w14:paraId="682E783E" w14:textId="2619686A" w:rsidR="00B74F98" w:rsidRPr="00536930" w:rsidRDefault="00DB45D8" w:rsidP="00B74F98">
      <w:pPr>
        <w:pStyle w:val="Default"/>
        <w:rPr>
          <w:rFonts w:cstheme="minorHAnsi"/>
          <w:sz w:val="20"/>
          <w:szCs w:val="20"/>
        </w:rPr>
      </w:pPr>
      <w:r>
        <w:rPr>
          <w:sz w:val="20"/>
        </w:rPr>
        <w:t>Manažer využívá Skóre klimatických rizik, které se týká otázky emisí skleníkových plynů a expozicí společnosti, do níž Fond investuje, vůči posunu směrem ke světu s nulovými čistými emisemi. Základem Skóre klimatických rizik je rozsah intenzity uhlíkových emisí 1 a 2 (což jsou hlavní ukazatele nepříznivého dopadu na životní prostředí) představující emise uhlíku přepočtené na velikost společnosti, která je předmětem investice. Index světového přírodního kapitálu řeší téma biologické rozmanitosti, znečištění ovzduší a umožňuje identifikovat společnosti, které se významně podílejí na otázkách životního prostředí a mají na ně dopad i mimo oblast změny klimatu. Skóre globálních norem je zaměřeno na činnost společností, do nichž Fond investuje, a to, jak dodržují globálně uznávané normy pro dodržování lidských práv a práv zaměstnanců a pro odpovědné obchodní praktiky. Index lidského kapitálu se vztahuje na pracovní podmínky a osobní rozvoj zaměstnanců a zásady pro pracovní prostředí.</w:t>
      </w:r>
    </w:p>
    <w:p w14:paraId="3CF4B36E" w14:textId="77777777" w:rsidR="00B74F98" w:rsidRPr="00536930" w:rsidRDefault="00B74F98" w:rsidP="00B74F98">
      <w:pPr>
        <w:pStyle w:val="Default"/>
        <w:rPr>
          <w:rFonts w:cstheme="minorHAnsi"/>
          <w:sz w:val="20"/>
          <w:szCs w:val="20"/>
        </w:rPr>
      </w:pPr>
    </w:p>
    <w:p w14:paraId="2391313A" w14:textId="5FDD6366" w:rsidR="00B74F98" w:rsidRPr="00536930" w:rsidRDefault="00DB45D8" w:rsidP="00B74F98">
      <w:pPr>
        <w:rPr>
          <w:rFonts w:cstheme="minorHAnsi"/>
          <w:sz w:val="20"/>
          <w:szCs w:val="20"/>
        </w:rPr>
      </w:pPr>
      <w:r>
        <w:rPr>
          <w:rStyle w:val="Emphasis"/>
          <w:b/>
          <w:i w:val="0"/>
          <w:sz w:val="20"/>
          <w:bdr w:val="none" w:sz="0" w:space="0" w:color="auto" w:frame="1"/>
          <w:shd w:val="clear" w:color="auto" w:fill="FFFFFF"/>
        </w:rPr>
        <w:t>Investiční strategie Fondu.</w:t>
      </w:r>
      <w:r>
        <w:rPr>
          <w:rStyle w:val="Emphasis"/>
          <w:b/>
          <w:color w:val="005D9F"/>
          <w:sz w:val="20"/>
          <w:bdr w:val="none" w:sz="0" w:space="0" w:color="auto" w:frame="1"/>
          <w:shd w:val="clear" w:color="auto" w:fill="FFFFFF"/>
        </w:rPr>
        <w:t xml:space="preserve"> </w:t>
      </w:r>
      <w:r>
        <w:rPr>
          <w:sz w:val="20"/>
        </w:rPr>
        <w:t>Fond investuje především do akcií švýcarských společností kótovaných v rámci indexu SPI a denominovaných ve švýcarských francích. Očekává se, že investovatelný objem bude zahrnovat přibližně 80–100 akcií. Portfolio Fondu zahrnuje především dvě třídy aktiv, a sice hotovost a akcie, a je téměř výhradně tvořeno jednotlivými akciemi.</w:t>
      </w:r>
    </w:p>
    <w:p w14:paraId="731C0062" w14:textId="1E7A18A3" w:rsidR="00536930" w:rsidRDefault="00DB45D8" w:rsidP="00B74F98">
      <w:pPr>
        <w:rPr>
          <w:rStyle w:val="Emphasis"/>
          <w:rFonts w:cstheme="minorHAnsi"/>
          <w:i w:val="0"/>
          <w:iCs w:val="0"/>
          <w:sz w:val="20"/>
          <w:szCs w:val="20"/>
        </w:rPr>
      </w:pPr>
      <w:r>
        <w:rPr>
          <w:sz w:val="20"/>
        </w:rPr>
        <w:t xml:space="preserve"> </w:t>
      </w:r>
      <w:r>
        <w:rPr>
          <w:rStyle w:val="Emphasis"/>
          <w:b/>
          <w:i w:val="0"/>
          <w:sz w:val="20"/>
          <w:bdr w:val="none" w:sz="0" w:space="0" w:color="auto" w:frame="1"/>
          <w:shd w:val="clear" w:color="auto" w:fill="FFFFFF"/>
        </w:rPr>
        <w:t>Metodologie používané ke stanovení míry dosahování sociálních nebo ekologických charakteristik</w:t>
      </w:r>
      <w:r>
        <w:rPr>
          <w:rStyle w:val="Emphasis"/>
          <w:b/>
          <w:color w:val="005D9F"/>
          <w:sz w:val="20"/>
          <w:bdr w:val="none" w:sz="0" w:space="0" w:color="auto" w:frame="1"/>
          <w:shd w:val="clear" w:color="auto" w:fill="FFFFFF"/>
        </w:rPr>
        <w:t xml:space="preserve"> – </w:t>
      </w:r>
      <w:r>
        <w:rPr>
          <w:sz w:val="20"/>
        </w:rPr>
        <w:t xml:space="preserve">Fond podporuje ekologické nebo sociální charakteristiky investováním do nástrojů, které jsou v souladu s vlastní metodologií investičního manažera pro hodnocení udržitelných investic („Metodologie udržitelného investování”). Metodologie udržitelného investování se člení na tři úrovně: </w:t>
      </w:r>
      <w:r>
        <w:rPr>
          <w:sz w:val="20"/>
        </w:rPr>
        <w:br/>
        <w:t>(1) Na první úrovni probíhá shromažďování surových dat o ekologickém a sociálním řízení subjektu investice (ESG) z různých externích zdrojů a prostřednictvím interního tematického průzkumu souvisejícího s investičními tématy vázanými nebo udržitelné cíle; (2) poté probíhá výpočet určitých tematických skóre na základě surových dat ESG a interního tematického průzkumu; (3) na poslední úrovni pak se odvozují čtyři různě kategorie ESG na základě kombinace tematických skóre a konkrétních ukazatelů (zpracovaných dat ESG například ve formě ratingu) poskytnutých přímo jednotlivými poskytovateli údajů ESG. Čtyři kategorie ESG odvozené z tohoto procesu jsou</w:t>
      </w:r>
      <w:r>
        <w:rPr>
          <w:i/>
          <w:sz w:val="20"/>
        </w:rPr>
        <w:t xml:space="preserve"> „Riziko ESG”, „Tradiční“, „Odpovědná” a „Udržitelná”.</w:t>
      </w: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t xml:space="preserve">  </w:t>
      </w: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br/>
      </w:r>
      <w:r>
        <w:rPr>
          <w:rStyle w:val="Emphasis"/>
          <w:b/>
          <w:i w:val="0"/>
          <w:color w:val="005D9F"/>
          <w:sz w:val="20"/>
          <w:bdr w:val="none" w:sz="0" w:space="0" w:color="auto" w:frame="1"/>
          <w:shd w:val="clear" w:color="auto" w:fill="FFFFFF"/>
        </w:rPr>
        <w:br/>
      </w:r>
      <w:r>
        <w:rPr>
          <w:rStyle w:val="Emphasis"/>
          <w:b/>
          <w:i w:val="0"/>
          <w:sz w:val="20"/>
          <w:bdr w:val="none" w:sz="0" w:space="0" w:color="auto" w:frame="1"/>
          <w:shd w:val="clear" w:color="auto" w:fill="FFFFFF"/>
        </w:rPr>
        <w:t>Podíl investic s ekologickým/sociálními charakteristikami</w:t>
      </w:r>
      <w:r>
        <w:rPr>
          <w:rStyle w:val="Emphasis"/>
          <w:i w:val="0"/>
          <w:sz w:val="20"/>
        </w:rPr>
        <w:t xml:space="preserve"> – Minimálně 70 % aktiv Fondu musí být vždy investováno do finančních nástrojů kategorizovaným investičním manažerem jako Odpovědné nebo Udržitelné. </w:t>
      </w:r>
      <w:r>
        <w:rPr>
          <w:rStyle w:val="Emphasis"/>
          <w:i w:val="0"/>
          <w:sz w:val="20"/>
        </w:rPr>
        <w:br/>
      </w:r>
      <w:r>
        <w:rPr>
          <w:rStyle w:val="Strong"/>
          <w:sz w:val="20"/>
          <w:bdr w:val="none" w:sz="0" w:space="0" w:color="auto" w:frame="1"/>
          <w:shd w:val="clear" w:color="auto" w:fill="FFFFFF"/>
        </w:rPr>
        <w:t>Závazné prvky investiční strategie</w:t>
      </w:r>
      <w:r>
        <w:rPr>
          <w:rStyle w:val="Strong"/>
          <w:i/>
          <w:color w:val="005D9F"/>
          <w:sz w:val="20"/>
          <w:bdr w:val="none" w:sz="0" w:space="0" w:color="auto" w:frame="1"/>
          <w:shd w:val="clear" w:color="auto" w:fill="FFFFFF"/>
        </w:rPr>
        <w:t xml:space="preserve"> </w:t>
      </w:r>
      <w:r>
        <w:rPr>
          <w:sz w:val="20"/>
        </w:rPr>
        <w:t xml:space="preserve">– Fond podporuje ekologické a sociální charakteristiky investováním </w:t>
      </w: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t xml:space="preserve">alespoň </w:t>
      </w:r>
      <w:r>
        <w:rPr>
          <w:rStyle w:val="Emphasis"/>
          <w:i w:val="0"/>
          <w:sz w:val="20"/>
          <w:u w:val="single"/>
          <w:bdr w:val="none" w:sz="0" w:space="0" w:color="auto" w:frame="1"/>
          <w:shd w:val="clear" w:color="auto" w:fill="FFFFFF"/>
        </w:rPr>
        <w:lastRenderedPageBreak/>
        <w:t>70 % aktiv Fondu do finančních nástrojů kategorizovaných investičním manažerem jako Odpovědné nebo Udržitelné.</w:t>
      </w: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t xml:space="preserve"> Zbývajících 30 % tvoří investice do finančních nástrojů kategorie Tradiční nebo</w:t>
      </w:r>
      <w:r>
        <w:rPr>
          <w:rStyle w:val="Emphasis"/>
          <w:i w:val="0"/>
          <w:sz w:val="20"/>
        </w:rPr>
        <w:t xml:space="preserve"> </w:t>
      </w: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t>do finančních nástrojů, které nemají investičním manažerem přidělenu žádnou kategorii ESG.</w:t>
      </w:r>
      <w:r>
        <w:rPr>
          <w:rStyle w:val="Emphasis"/>
          <w:i w:val="0"/>
          <w:sz w:val="20"/>
        </w:rPr>
        <w:t xml:space="preserve"> </w:t>
      </w: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t>Případně jsou představovány investicemi do nástrojů schválených Komisí pro výjimky.</w:t>
      </w:r>
    </w:p>
    <w:p w14:paraId="09D1B46C" w14:textId="4D0FF90F" w:rsidR="00B74F98" w:rsidRPr="00536930" w:rsidRDefault="00921250" w:rsidP="00B74F98">
      <w:pPr>
        <w:rPr>
          <w:rFonts w:cstheme="minorHAnsi"/>
          <w:sz w:val="20"/>
          <w:szCs w:val="20"/>
        </w:rPr>
      </w:pPr>
      <w:r>
        <w:rPr>
          <w:rStyle w:val="Emphasis"/>
          <w:i w:val="0"/>
          <w:sz w:val="20"/>
        </w:rPr>
        <w:br/>
      </w:r>
      <w:r>
        <w:rPr>
          <w:rStyle w:val="Emphasis"/>
          <w:b/>
          <w:i w:val="0"/>
          <w:sz w:val="20"/>
          <w:bdr w:val="none" w:sz="0" w:space="0" w:color="auto" w:frame="1"/>
          <w:shd w:val="clear" w:color="auto" w:fill="FFFFFF"/>
        </w:rPr>
        <w:t>Monitorování ekologických/sociálních charakteristik</w:t>
      </w:r>
      <w:r>
        <w:rPr>
          <w:color w:val="000000"/>
          <w:kern w:val="0"/>
        </w:rPr>
        <w:t xml:space="preserve"> – </w:t>
      </w:r>
      <w:r>
        <w:rPr>
          <w:color w:val="000000"/>
          <w:kern w:val="0"/>
          <w:sz w:val="20"/>
        </w:rPr>
        <w:t xml:space="preserve">Investiční manažer zavedl hodnocení rizik udržitelnosti do procesu rozhodování o investicích Fondu, a to jak ve fázi výchozí hloubkové kontroly v rámci investičního procesu, tak jako součást průběžného monitorování investic Fondu. Zařazení fáze hodnocení rizik udržitelnosti do vlastního investičního rozhodování má za cíl zajistit, aby byla rizika související s udržitelností zvažována stejně jako ostatní rizika, jejichž posouzení tvoří nedílnou součást procesu investičního rozhodování. </w:t>
      </w:r>
    </w:p>
    <w:p w14:paraId="138E30D7" w14:textId="78D2981A" w:rsidR="00B74F98" w:rsidRPr="00536930" w:rsidRDefault="001F4DA3" w:rsidP="00B74F98">
      <w:pPr>
        <w:rPr>
          <w:rFonts w:cstheme="minorHAnsi"/>
          <w:kern w:val="0"/>
          <w:sz w:val="20"/>
          <w:szCs w:val="20"/>
        </w:rPr>
      </w:pPr>
      <w:r>
        <w:rPr>
          <w:sz w:val="20"/>
          <w:bdr w:val="none" w:sz="0" w:space="0" w:color="auto" w:frame="1"/>
          <w:shd w:val="clear" w:color="auto" w:fill="FFFFFF"/>
        </w:rPr>
        <w:br/>
      </w:r>
      <w:r>
        <w:rPr>
          <w:rStyle w:val="Emphasis"/>
          <w:b/>
          <w:i w:val="0"/>
          <w:sz w:val="20"/>
          <w:bdr w:val="none" w:sz="0" w:space="0" w:color="auto" w:frame="1"/>
          <w:shd w:val="clear" w:color="auto" w:fill="FFFFFF"/>
        </w:rPr>
        <w:t>Omezení spojená s daty a metodologiemi</w:t>
      </w:r>
      <w:r>
        <w:rPr>
          <w:color w:val="000000"/>
          <w:kern w:val="0"/>
          <w:sz w:val="20"/>
        </w:rPr>
        <w:t xml:space="preserve"> – Hodnocení rizik udržitelnosti je složité a může vycházet z údajů ESG získaných z externích zdrojů, jejichž poskytovatelé využívají vlastní metodologie k jejich shromažďování. </w:t>
      </w:r>
      <w:r>
        <w:rPr>
          <w:kern w:val="0"/>
          <w:sz w:val="20"/>
        </w:rPr>
        <w:t xml:space="preserve">Proto data </w:t>
      </w:r>
      <w:r>
        <w:rPr>
          <w:color w:val="000000"/>
          <w:kern w:val="0"/>
          <w:sz w:val="20"/>
        </w:rPr>
        <w:t>ESG včetně ratingů mohou být nepřesná, neúplná, neaktuální nebo občas nedostupná a pro některé emitenty může být obtížné je vůbec získat, což závisí na úrovni transparentnosti emitenta a informací, které jsou o něm veřejně dostupné.</w:t>
      </w:r>
      <w:r>
        <w:rPr>
          <w:kern w:val="0"/>
          <w:sz w:val="20"/>
        </w:rPr>
        <w:t xml:space="preserve"> </w:t>
      </w:r>
    </w:p>
    <w:p w14:paraId="172258C8" w14:textId="42220D9D" w:rsidR="00536930" w:rsidRDefault="006A0066" w:rsidP="00B74F98">
      <w:pPr>
        <w:rPr>
          <w:rFonts w:cstheme="minorHAnsi"/>
          <w:sz w:val="20"/>
          <w:szCs w:val="20"/>
        </w:rPr>
      </w:pPr>
      <w:r>
        <w:rPr>
          <w:rStyle w:val="Emphasis"/>
          <w:b/>
          <w:i w:val="0"/>
          <w:sz w:val="20"/>
          <w:bdr w:val="none" w:sz="0" w:space="0" w:color="auto" w:frame="1"/>
          <w:shd w:val="clear" w:color="auto" w:fill="FFFFFF"/>
        </w:rPr>
        <w:t>Proces hloubkové kontroly a zjištění angažovanosti</w:t>
      </w:r>
      <w:r>
        <w:t xml:space="preserve"> – </w:t>
      </w:r>
      <w:r>
        <w:rPr>
          <w:sz w:val="20"/>
        </w:rPr>
        <w:t xml:space="preserve">Každá zvažovaná investice musí nejprve projít hloubkovou kontrolou ze strany analytiků investičního manažera, jejímž výsledkem je seznam schválených fondů zahrnující všechny třídy aktiv, regiony a specifická témata. Tyto seznamy následně použije investiční manažer k výběru jednotlivých investic pro investování Fondem podle svého uvážení, a to podle stejného postupu a metodiky, jakou používá pro všechny investice a výběr cenných papírů, aby získal expozici vůči různým třídám aktiv zastoupeným v taktické alokaci aktiv Fondu. </w:t>
      </w:r>
    </w:p>
    <w:p w14:paraId="7C14FD81" w14:textId="2C4EDE58" w:rsidR="00536930" w:rsidRDefault="00141700" w:rsidP="00B74F98">
      <w:pPr>
        <w:rPr>
          <w:rStyle w:val="Emphasis"/>
          <w:rFonts w:cstheme="minorHAnsi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sz w:val="20"/>
        </w:rPr>
        <w:br/>
      </w:r>
      <w:r>
        <w:rPr>
          <w:rStyle w:val="Emphasis"/>
          <w:b/>
          <w:i w:val="0"/>
          <w:sz w:val="20"/>
          <w:bdr w:val="none" w:sz="0" w:space="0" w:color="auto" w:frame="1"/>
          <w:shd w:val="clear" w:color="auto" w:fill="FFFFFF"/>
        </w:rPr>
        <w:t>Dopad rizik udržitelnosti na návratnost investic Fondu</w:t>
      </w:r>
      <w:r>
        <w:rPr>
          <w:rStyle w:val="Emphasis"/>
          <w:color w:val="666666"/>
          <w:sz w:val="20"/>
          <w:bdr w:val="none" w:sz="0" w:space="0" w:color="auto" w:frame="1"/>
          <w:shd w:val="clear" w:color="auto" w:fill="FFFFFF"/>
        </w:rPr>
        <w:t xml:space="preserve"> – </w:t>
      </w: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t>Rizikové faktory související s udržitelností obecně zahrnují střednědobá až dlouhodobá investiční rizika, která se mohou projevit i v krátkodobém horizontu. Mohou se projevit v kterékoliv ze tří sledovaných dimenzí: ekologické, sociální nebo v dimenzi řízení subjektu. Rizika udržitelnosti se kupříkladu mohou projevit jako extrémní riziko ztráty u konkrétního emitenta. Události, které dávají vznik riziku udržitelnosti u konkrétního emitenta, se obvykle stávají zřídka a jejich pravděpodobnost je nízká, ale mohou mít významný finanční dopad a mohou Fondu způsobit významnou finanční ztrátu. Investiční manažer si je vědom, že expozice Fondu rizikům udržitelnosti se v průběhu doby vyvíjí a že je třeba expozici Fondu těmto rizikům průběžně sledovat.</w:t>
      </w:r>
    </w:p>
    <w:p w14:paraId="6E264126" w14:textId="6D8A6F4F" w:rsidR="00536930" w:rsidRDefault="001F4DA3" w:rsidP="00B74F98">
      <w:pPr>
        <w:rPr>
          <w:rStyle w:val="Emphasis"/>
          <w:rFonts w:cstheme="minorHAnsi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br/>
      </w:r>
      <w:r>
        <w:rPr>
          <w:rStyle w:val="Emphasis"/>
          <w:b/>
          <w:i w:val="0"/>
          <w:sz w:val="20"/>
          <w:bdr w:val="none" w:sz="0" w:space="0" w:color="auto" w:frame="1"/>
          <w:shd w:val="clear" w:color="auto" w:fill="FFFFFF"/>
        </w:rPr>
        <w:t>Hlavní nežádoucí dopady –</w:t>
      </w: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t xml:space="preserve"> Investiční manažer a obhospodařovatel Fondu v současné době nezohledňují potenciální nepříznivé dopady investičních rozhodnutí na faktory udržitelnosti tohoto fondu. Protože Fond neprosazuje ekologické ani sociální charakteristiky a nemá za cíl udržitelné investice, bylo rozhodnuto, že ani investiční manažer ani obhospodařovatel Fondu nebudou stanovovat takové nepříznivé dopady na faktory udržitelnosti</w:t>
      </w:r>
    </w:p>
    <w:p w14:paraId="12554B61" w14:textId="72DD08A1" w:rsidR="00FE1E2C" w:rsidRPr="00536930" w:rsidRDefault="001F4DA3" w:rsidP="00B74F98">
      <w:pPr>
        <w:rPr>
          <w:rFonts w:cstheme="minorHAnsi"/>
          <w:color w:val="000000" w:themeColor="text1"/>
          <w:kern w:val="0"/>
          <w:sz w:val="20"/>
          <w:szCs w:val="20"/>
        </w:rPr>
      </w:pP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br/>
      </w:r>
      <w:r>
        <w:rPr>
          <w:rStyle w:val="Emphasis"/>
          <w:b/>
          <w:i w:val="0"/>
          <w:sz w:val="20"/>
          <w:bdr w:val="none" w:sz="0" w:space="0" w:color="auto" w:frame="1"/>
          <w:shd w:val="clear" w:color="auto" w:fill="FFFFFF"/>
        </w:rPr>
        <w:t>Benchmark</w:t>
      </w:r>
      <w:r>
        <w:rPr>
          <w:rStyle w:val="Emphasis"/>
          <w:i w:val="0"/>
          <w:sz w:val="20"/>
          <w:bdr w:val="none" w:sz="0" w:space="0" w:color="auto" w:frame="1"/>
          <w:shd w:val="clear" w:color="auto" w:fill="FFFFFF"/>
        </w:rPr>
        <w:t xml:space="preserve"> – </w:t>
      </w:r>
      <w:r>
        <w:rPr>
          <w:color w:val="000000" w:themeColor="text1"/>
          <w:kern w:val="0"/>
          <w:sz w:val="20"/>
        </w:rPr>
        <w:t xml:space="preserve">Fond je aktivně řízen investičním manažerem a není omezen odkazem na žádný index. Fond využívá jako benchmark lokální švýcarský index čisté celkové návratnosti </w:t>
      </w:r>
      <w:r>
        <w:rPr>
          <w:i/>
          <w:color w:val="000000" w:themeColor="text1"/>
          <w:kern w:val="0"/>
          <w:sz w:val="20"/>
        </w:rPr>
        <w:t>MSCI Switzerland Net Total Return Local Index</w:t>
      </w:r>
      <w:r>
        <w:rPr>
          <w:color w:val="000000" w:themeColor="text1"/>
          <w:kern w:val="0"/>
          <w:sz w:val="20"/>
        </w:rPr>
        <w:t xml:space="preserve"> pouze pro účely porovnávání výkonnosti a investiční manažer má možnost dle svého uvážení významně se odchýlit se od složek, vah a charakteristik rizika benchmarku v rámci cíle a investiční strategie Fondu. Míra, v níž se Fond podobá složení a charakteristikám rizik benchmarku, se může během doby měnit a výkonnost Fondu se může významně lišit od výkonnosti benchmarku nebo se jí naopak přiblížit víc než jindy.</w:t>
      </w:r>
    </w:p>
    <w:p w14:paraId="5FE43FB7" w14:textId="77777777" w:rsidR="00B74F98" w:rsidRPr="00536930" w:rsidRDefault="00B74F98" w:rsidP="00B74F98">
      <w:pPr>
        <w:rPr>
          <w:rFonts w:cstheme="minorHAnsi"/>
          <w:color w:val="000000" w:themeColor="text1"/>
          <w:kern w:val="0"/>
          <w:sz w:val="20"/>
          <w:szCs w:val="20"/>
        </w:rPr>
      </w:pPr>
    </w:p>
    <w:p w14:paraId="407B049A" w14:textId="4880A280" w:rsidR="00B74F98" w:rsidRPr="00536930" w:rsidRDefault="00B74F98" w:rsidP="00B74F98">
      <w:pPr>
        <w:rPr>
          <w:rFonts w:cstheme="minorHAnsi"/>
          <w:i/>
          <w:iCs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i/>
          <w:sz w:val="20"/>
        </w:rPr>
        <w:t>Další podrobnosti o investiční strategii, kterou se řídí investiční manažer, aby dosáhl cíle Fondu v oblasti udržitelného investování, jsou k dispozici na adrese https://www.threerockcapital.com/sfdr-disclosure/</w:t>
      </w:r>
    </w:p>
    <w:sectPr w:rsidR="00B74F98" w:rsidRPr="00536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5EC7" w14:textId="77777777" w:rsidR="00FE1E2C" w:rsidRDefault="00FE1E2C" w:rsidP="00FE1E2C">
      <w:pPr>
        <w:spacing w:after="0" w:line="240" w:lineRule="auto"/>
      </w:pPr>
      <w:r>
        <w:separator/>
      </w:r>
    </w:p>
  </w:endnote>
  <w:endnote w:type="continuationSeparator" w:id="0">
    <w:p w14:paraId="3AB84A9D" w14:textId="77777777" w:rsidR="00FE1E2C" w:rsidRDefault="00FE1E2C" w:rsidP="00FE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E163" w14:textId="77777777" w:rsidR="00FE1E2C" w:rsidRDefault="00FE1E2C" w:rsidP="00FE1E2C">
      <w:pPr>
        <w:spacing w:after="0" w:line="240" w:lineRule="auto"/>
      </w:pPr>
      <w:r>
        <w:separator/>
      </w:r>
    </w:p>
  </w:footnote>
  <w:footnote w:type="continuationSeparator" w:id="0">
    <w:p w14:paraId="288D29AC" w14:textId="77777777" w:rsidR="00FE1E2C" w:rsidRDefault="00FE1E2C" w:rsidP="00FE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68D"/>
    <w:multiLevelType w:val="hybridMultilevel"/>
    <w:tmpl w:val="10B42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241F4"/>
    <w:multiLevelType w:val="hybridMultilevel"/>
    <w:tmpl w:val="DF08EF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5F1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1290780">
    <w:abstractNumId w:val="2"/>
  </w:num>
  <w:num w:numId="2" w16cid:durableId="1654942476">
    <w:abstractNumId w:val="0"/>
  </w:num>
  <w:num w:numId="3" w16cid:durableId="176141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jb_classification_visible" w:val="False"/>
  </w:docVars>
  <w:rsids>
    <w:rsidRoot w:val="00FE1E2C"/>
    <w:rsid w:val="000B2A18"/>
    <w:rsid w:val="000E382F"/>
    <w:rsid w:val="00141700"/>
    <w:rsid w:val="00170284"/>
    <w:rsid w:val="001B01ED"/>
    <w:rsid w:val="001D4A9D"/>
    <w:rsid w:val="001F4DA3"/>
    <w:rsid w:val="00203B48"/>
    <w:rsid w:val="00203EE4"/>
    <w:rsid w:val="0026415E"/>
    <w:rsid w:val="002C4B8C"/>
    <w:rsid w:val="00357BAA"/>
    <w:rsid w:val="003A2837"/>
    <w:rsid w:val="003B0D15"/>
    <w:rsid w:val="004223BB"/>
    <w:rsid w:val="00536930"/>
    <w:rsid w:val="00574BA2"/>
    <w:rsid w:val="005855A6"/>
    <w:rsid w:val="0059188E"/>
    <w:rsid w:val="005F3617"/>
    <w:rsid w:val="006A0066"/>
    <w:rsid w:val="006F7F45"/>
    <w:rsid w:val="007B4495"/>
    <w:rsid w:val="00921250"/>
    <w:rsid w:val="009510B6"/>
    <w:rsid w:val="00A26E08"/>
    <w:rsid w:val="00B547DF"/>
    <w:rsid w:val="00B67838"/>
    <w:rsid w:val="00B74F98"/>
    <w:rsid w:val="00B97422"/>
    <w:rsid w:val="00BC1AB3"/>
    <w:rsid w:val="00D54532"/>
    <w:rsid w:val="00DB45D8"/>
    <w:rsid w:val="00F37000"/>
    <w:rsid w:val="00FB3F21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C153DE"/>
  <w15:chartTrackingRefBased/>
  <w15:docId w15:val="{2609A00D-CEE0-4B0A-87D7-3DF6391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2C"/>
  </w:style>
  <w:style w:type="paragraph" w:styleId="Footer">
    <w:name w:val="footer"/>
    <w:basedOn w:val="Normal"/>
    <w:link w:val="FooterChar"/>
    <w:uiPriority w:val="99"/>
    <w:unhideWhenUsed/>
    <w:rsid w:val="00FE1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2C"/>
  </w:style>
  <w:style w:type="paragraph" w:styleId="NormalWeb">
    <w:name w:val="Normal (Web)"/>
    <w:basedOn w:val="Normal"/>
    <w:uiPriority w:val="99"/>
    <w:unhideWhenUsed/>
    <w:rsid w:val="00FE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FE1E2C"/>
    <w:rPr>
      <w:i/>
      <w:iCs/>
    </w:rPr>
  </w:style>
  <w:style w:type="paragraph" w:customStyle="1" w:styleId="Default">
    <w:name w:val="Default"/>
    <w:rsid w:val="00FE1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3A2837"/>
    <w:rPr>
      <w:b/>
      <w:bCs/>
    </w:rPr>
  </w:style>
  <w:style w:type="paragraph" w:styleId="ListParagraph">
    <w:name w:val="List Paragraph"/>
    <w:basedOn w:val="Normal"/>
    <w:uiPriority w:val="34"/>
    <w:qFormat/>
    <w:rsid w:val="006A0066"/>
    <w:pPr>
      <w:ind w:left="720"/>
      <w:contextualSpacing/>
    </w:pPr>
  </w:style>
  <w:style w:type="paragraph" w:styleId="Revision">
    <w:name w:val="Revision"/>
    <w:hidden/>
    <w:uiPriority w:val="99"/>
    <w:semiHidden/>
    <w:rsid w:val="006F7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501D-79B7-4C01-8FED-EB910488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Citrolo, Giulia</dc:creator>
  <cp:keywords/>
  <dc:description/>
  <cp:lastModifiedBy>DelPinoCostan, Juan</cp:lastModifiedBy>
  <cp:revision>3</cp:revision>
  <dcterms:created xsi:type="dcterms:W3CDTF">2024-05-29T11:22:00Z</dcterms:created>
  <dcterms:modified xsi:type="dcterms:W3CDTF">2024-06-06T10:20:00Z</dcterms:modified>
  <cp:contentStatus>## JB Classification: internal ##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b_timestamp">
    <vt:lpwstr>2024052912150550</vt:lpwstr>
  </property>
</Properties>
</file>