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4B08C" w14:textId="185EF578" w:rsidR="00BC1AB3" w:rsidRDefault="00536930">
      <w:pPr>
        <w:rPr>
          <w:b/>
          <w:bCs/>
        </w:rPr>
      </w:pPr>
      <w:r>
        <w:rPr>
          <w:noProof/>
        </w:rPr>
        <w:drawing>
          <wp:inline distT="0" distB="0" distL="0" distR="0" wp14:anchorId="0DFBCAE6" wp14:editId="5BEF169E">
            <wp:extent cx="1895185" cy="1003935"/>
            <wp:effectExtent l="0" t="0" r="0" b="0"/>
            <wp:docPr id="3" name="Picture 3" descr="Y:\Branding and Web Design\Three Rock Capi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and Web Design\Three Rock Capital Main 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05096" cy="1009185"/>
                    </a:xfrm>
                    <a:prstGeom prst="rect">
                      <a:avLst/>
                    </a:prstGeom>
                    <a:noFill/>
                    <a:ln>
                      <a:noFill/>
                    </a:ln>
                  </pic:spPr>
                </pic:pic>
              </a:graphicData>
            </a:graphic>
          </wp:inline>
        </w:drawing>
      </w:r>
    </w:p>
    <w:p w14:paraId="51A636BC" w14:textId="77777777" w:rsidR="005855A6" w:rsidRDefault="005855A6">
      <w:pPr>
        <w:rPr>
          <w:b/>
          <w:bCs/>
        </w:rPr>
      </w:pPr>
    </w:p>
    <w:p w14:paraId="0367A7E7" w14:textId="4E66D032" w:rsidR="005855A6" w:rsidRDefault="00FE1E2C">
      <w:pPr>
        <w:rPr>
          <w:b/>
          <w:bCs/>
        </w:rPr>
      </w:pPr>
      <w:r>
        <w:rPr>
          <w:b/>
        </w:rPr>
        <w:t xml:space="preserve">Premium Selection UCITS ICAV </w:t>
      </w:r>
    </w:p>
    <w:p w14:paraId="2DBCA78C" w14:textId="77777777" w:rsidR="005855A6" w:rsidRDefault="005855A6">
      <w:pPr>
        <w:rPr>
          <w:b/>
          <w:bCs/>
        </w:rPr>
      </w:pPr>
    </w:p>
    <w:p w14:paraId="4622AC0B" w14:textId="3AA105C3" w:rsidR="00FE1E2C" w:rsidRPr="00BC1AB3" w:rsidRDefault="005855A6" w:rsidP="00150491">
      <w:pPr>
        <w:spacing w:line="240" w:lineRule="auto"/>
        <w:rPr>
          <w:b/>
          <w:bCs/>
        </w:rPr>
      </w:pPr>
      <w:r>
        <w:rPr>
          <w:b/>
        </w:rPr>
        <w:t>Julius Baer Edelweiss Swiss Equity – en afdeling i Premium Selection UCITS ICAV – Sammenfatning af oplysninger, jf. disclosure-forordningen – 07/06/2024</w:t>
      </w:r>
    </w:p>
    <w:p w14:paraId="16E6156F" w14:textId="32CA1CA9" w:rsidR="00B74F98" w:rsidRPr="00536930" w:rsidRDefault="00FE1E2C" w:rsidP="00150491">
      <w:pPr>
        <w:pStyle w:val="NormalWeb"/>
        <w:shd w:val="clear" w:color="auto" w:fill="FFFFFF"/>
        <w:spacing w:before="0" w:beforeAutospacing="0" w:after="0" w:afterAutospacing="0"/>
        <w:textAlignment w:val="baseline"/>
        <w:rPr>
          <w:rFonts w:asciiTheme="minorHAnsi" w:hAnsiTheme="minorHAnsi" w:cstheme="minorHAnsi"/>
          <w:sz w:val="20"/>
          <w:szCs w:val="20"/>
        </w:rPr>
      </w:pPr>
      <w:r>
        <w:rPr>
          <w:rStyle w:val="Emphasis"/>
          <w:rFonts w:asciiTheme="minorHAnsi" w:hAnsiTheme="minorHAnsi"/>
          <w:b/>
          <w:i w:val="0"/>
          <w:sz w:val="20"/>
          <w:bdr w:val="none" w:sz="0" w:space="0" w:color="auto" w:frame="1"/>
        </w:rPr>
        <w:t>Bæredygtigt investeringsmål</w:t>
      </w:r>
      <w:r>
        <w:t xml:space="preserve"> – </w:t>
      </w:r>
      <w:r>
        <w:rPr>
          <w:rFonts w:asciiTheme="minorHAnsi" w:hAnsiTheme="minorHAnsi"/>
          <w:sz w:val="20"/>
        </w:rPr>
        <w:t>Fonden fremmer miljømæssige eller sociale karakteristika, men har ikke bæredygtig investering som mål</w:t>
      </w:r>
      <w:r>
        <w:t>.</w:t>
      </w:r>
    </w:p>
    <w:p w14:paraId="0EF770F2" w14:textId="77777777" w:rsidR="00B74F98" w:rsidRPr="00536930" w:rsidRDefault="00B74F98" w:rsidP="00F43784">
      <w:pPr>
        <w:pStyle w:val="NormalWeb"/>
        <w:shd w:val="clear" w:color="auto" w:fill="FFFFFF"/>
        <w:spacing w:before="0" w:beforeAutospacing="0" w:after="0" w:afterAutospacing="0"/>
        <w:textAlignment w:val="baseline"/>
        <w:rPr>
          <w:rFonts w:asciiTheme="minorHAnsi" w:hAnsiTheme="minorHAnsi" w:cstheme="minorHAnsi"/>
          <w:sz w:val="20"/>
          <w:szCs w:val="20"/>
        </w:rPr>
      </w:pPr>
    </w:p>
    <w:p w14:paraId="60ADB336" w14:textId="0EBA3C04" w:rsidR="006A0066" w:rsidRPr="00536930" w:rsidRDefault="00FE1E2C" w:rsidP="00F43784">
      <w:pPr>
        <w:pStyle w:val="NormalWeb"/>
        <w:shd w:val="clear" w:color="auto" w:fill="FFFFFF"/>
        <w:spacing w:before="0" w:beforeAutospacing="0" w:after="0" w:afterAutospacing="0"/>
        <w:textAlignment w:val="baseline"/>
        <w:rPr>
          <w:rFonts w:asciiTheme="minorHAnsi" w:hAnsiTheme="minorHAnsi" w:cstheme="minorHAnsi"/>
          <w:i/>
          <w:iCs/>
          <w:color w:val="666666"/>
          <w:sz w:val="20"/>
          <w:szCs w:val="20"/>
          <w:bdr w:val="none" w:sz="0" w:space="0" w:color="auto" w:frame="1"/>
        </w:rPr>
      </w:pPr>
      <w:r>
        <w:rPr>
          <w:rStyle w:val="Emphasis"/>
          <w:rFonts w:asciiTheme="minorHAnsi" w:hAnsiTheme="minorHAnsi"/>
          <w:b/>
          <w:i w:val="0"/>
          <w:sz w:val="20"/>
          <w:bdr w:val="none" w:sz="0" w:space="0" w:color="auto" w:frame="1"/>
        </w:rPr>
        <w:t>Fondens miljømæssige/sociale karakteristika</w:t>
      </w:r>
      <w:r>
        <w:t xml:space="preserve"> – </w:t>
      </w:r>
      <w:r w:rsidRPr="007D38A4">
        <w:rPr>
          <w:rFonts w:asciiTheme="minorHAnsi" w:hAnsiTheme="minorHAnsi"/>
          <w:sz w:val="20"/>
        </w:rPr>
        <w:t>Fonden fremmer følgende miljømæssige og sociale karakteristika</w:t>
      </w:r>
      <w:r>
        <w:rPr>
          <w:rFonts w:asciiTheme="minorHAnsi" w:hAnsiTheme="minorHAnsi"/>
          <w:sz w:val="20"/>
        </w:rPr>
        <w:t xml:space="preserve">: *Modvirkning af klimaændringer og tilpasning til klimaændringer, *Bevarelse af biodiversitet, *Solide medarbejderforhold, *Respekt for globale normer og standarder. </w:t>
      </w:r>
    </w:p>
    <w:p w14:paraId="701A8DFC" w14:textId="77777777" w:rsidR="00B74F98" w:rsidRPr="00536930" w:rsidRDefault="00FE1E2C" w:rsidP="00F43784">
      <w:pPr>
        <w:pStyle w:val="Default"/>
        <w:rPr>
          <w:rFonts w:cstheme="minorHAnsi"/>
          <w:sz w:val="20"/>
          <w:szCs w:val="20"/>
        </w:rPr>
      </w:pPr>
      <w:r>
        <w:rPr>
          <w:sz w:val="20"/>
        </w:rPr>
        <w:t xml:space="preserve">Det kræves for at sikre, at fonden bevarer sin ESG-profil, at den investerer i instrumenter, der overholder de tærskler, der følger af investeringsforvalterens egenudviklede </w:t>
      </w:r>
      <w:r>
        <w:rPr>
          <w:b/>
          <w:sz w:val="20"/>
        </w:rPr>
        <w:t>vurderingsmetode for bæredygtige investeringer</w:t>
      </w:r>
      <w:r>
        <w:rPr>
          <w:sz w:val="20"/>
        </w:rPr>
        <w:t>.</w:t>
      </w:r>
    </w:p>
    <w:p w14:paraId="682E783E" w14:textId="2619686A" w:rsidR="00B74F98" w:rsidRPr="00536930" w:rsidRDefault="00DB45D8" w:rsidP="00F43784">
      <w:pPr>
        <w:pStyle w:val="Default"/>
        <w:rPr>
          <w:rFonts w:cstheme="minorHAnsi"/>
          <w:sz w:val="20"/>
          <w:szCs w:val="20"/>
        </w:rPr>
      </w:pPr>
      <w:r>
        <w:rPr>
          <w:sz w:val="20"/>
        </w:rPr>
        <w:t>Forvalteren anvender en klimascore, der tager hensyn til spørgsmålet om drivhusgasemissioner samt den investeringsmodtagende virksomheds eksponering for omstillingen til CO2-neutralitet. Klimascorens grundlag er intensiteten af scope 1- og scope 2-emissioner af CO2 (der er indikatorer for de vigtigste negative indvirkninger), som repræsenterer CO2-emissioner proportionelt i forhold til den investeringsmodtagende virksomheds størrelse. Naturkapitalscoren tager hensyn til biodiversitet og forurening og giver mulighed for at identificere virksomheder, der er væsentligt eksponeret for og har indvirkning på miljømæssige forhold udover klimaet. Scoren for globale normer er rettet mod investeringsmodtagende virksomheders drift og deres overholdelse af globalt accepterede normer angående menneskerettigheder, arbejdstagerrettigheder samt ansvarlig forretningspraksis. Scoren for menneskelig kapital omfatter medarbejderforhold og -udvikling samt arbejdspladsens politikker.</w:t>
      </w:r>
    </w:p>
    <w:p w14:paraId="3CF4B36E" w14:textId="77777777" w:rsidR="00B74F98" w:rsidRPr="00536930" w:rsidRDefault="00B74F98" w:rsidP="00F43784">
      <w:pPr>
        <w:pStyle w:val="Default"/>
        <w:rPr>
          <w:rFonts w:cstheme="minorHAnsi"/>
          <w:sz w:val="20"/>
          <w:szCs w:val="20"/>
        </w:rPr>
      </w:pPr>
    </w:p>
    <w:p w14:paraId="2391313A" w14:textId="5FDD6366" w:rsidR="00B74F98" w:rsidRPr="00536930" w:rsidRDefault="00DB45D8" w:rsidP="00F43784">
      <w:pPr>
        <w:spacing w:line="240" w:lineRule="auto"/>
        <w:rPr>
          <w:rFonts w:cstheme="minorHAnsi"/>
          <w:sz w:val="20"/>
          <w:szCs w:val="20"/>
        </w:rPr>
      </w:pPr>
      <w:r>
        <w:rPr>
          <w:rStyle w:val="Emphasis"/>
          <w:b/>
          <w:i w:val="0"/>
          <w:sz w:val="20"/>
          <w:bdr w:val="none" w:sz="0" w:space="0" w:color="auto" w:frame="1"/>
          <w:shd w:val="clear" w:color="auto" w:fill="FFFFFF"/>
        </w:rPr>
        <w:t>Fondens investeringsstrategi.</w:t>
      </w:r>
      <w:r>
        <w:rPr>
          <w:rStyle w:val="Emphasis"/>
          <w:b/>
          <w:color w:val="005D9F"/>
          <w:sz w:val="20"/>
          <w:bdr w:val="none" w:sz="0" w:space="0" w:color="auto" w:frame="1"/>
          <w:shd w:val="clear" w:color="auto" w:fill="FFFFFF"/>
        </w:rPr>
        <w:t xml:space="preserve"> </w:t>
      </w:r>
      <w:r>
        <w:rPr>
          <w:sz w:val="20"/>
        </w:rPr>
        <w:t>Fonden investerer hovedsageligt i aktier i schweiziske virksomheder, der er noteret på SPI og denomineret i CHF. Det forventes, at investeringsuniverset omfatter 80-100 aktier. Porteføljen består overvejende af to aktivklasser – likvide midler og aktier – og er næsten udelukkende baseret på enkelte aktier.</w:t>
      </w:r>
    </w:p>
    <w:p w14:paraId="731C0062" w14:textId="372AC765" w:rsidR="00536930" w:rsidRDefault="00DB45D8" w:rsidP="00F43784">
      <w:pPr>
        <w:spacing w:line="240" w:lineRule="auto"/>
        <w:rPr>
          <w:rStyle w:val="Emphasis"/>
          <w:rFonts w:cstheme="minorHAnsi"/>
          <w:i w:val="0"/>
          <w:iCs w:val="0"/>
          <w:sz w:val="20"/>
          <w:szCs w:val="20"/>
        </w:rPr>
      </w:pPr>
      <w:r>
        <w:rPr>
          <w:sz w:val="20"/>
        </w:rPr>
        <w:t xml:space="preserve"> </w:t>
      </w:r>
      <w:r>
        <w:rPr>
          <w:rStyle w:val="Emphasis"/>
          <w:b/>
          <w:i w:val="0"/>
          <w:sz w:val="20"/>
          <w:bdr w:val="none" w:sz="0" w:space="0" w:color="auto" w:frame="1"/>
          <w:shd w:val="clear" w:color="auto" w:fill="FFFFFF"/>
        </w:rPr>
        <w:t>Metoder anvendt til måling af opnåelse af sociale eller miljømæssige karakteristika</w:t>
      </w:r>
      <w:r>
        <w:rPr>
          <w:sz w:val="20"/>
        </w:rPr>
        <w:t xml:space="preserve"> – Fonden fremmer miljømæssige eller sociale karakteristika ved at investere i instrumenter, der overholder investeringsforvalterens egenudviklede vurderingsmetode for bæredygtige investeringer ("metoden for bæredygtige investeringer"). Metoden for bæredygtige investeringer er struktureret på tre niveauer: </w:t>
      </w:r>
      <w:r>
        <w:rPr>
          <w:sz w:val="20"/>
        </w:rPr>
        <w:br/>
        <w:t xml:space="preserve">(1) På første niveau indsamles ubearbejdede ESG-data fra en række eksterne dataleverandører samt fra intern, tematisk analyse knyttet til investeringstemaerne for bæredygtighedsmålene. (2) Derefter beregnes visse tematiske scorer på grundlag af de ubearbejdede ESG-data og intern tematisk analyse. (3) Hvad angår det sidste niveau, udledes fire forskellige ESG-kategorier ud fra en kombination af tematiske scorer og bestemte indikatorer (bearbejdede ESG-data såsom vurderinger), der tilvejebringes direkte af forskellige ESG-dataleverandører. De fire ESG-kategorier, der udledes af processen er </w:t>
      </w:r>
      <w:r>
        <w:rPr>
          <w:i/>
          <w:sz w:val="20"/>
        </w:rPr>
        <w:t xml:space="preserve">"ESG-risiko", "Traditionelle", "Ansvarlige" </w:t>
      </w:r>
      <w:r>
        <w:rPr>
          <w:sz w:val="20"/>
        </w:rPr>
        <w:t>og</w:t>
      </w:r>
      <w:r>
        <w:rPr>
          <w:i/>
          <w:sz w:val="20"/>
        </w:rPr>
        <w:t xml:space="preserve"> "Bæredygtige".</w:t>
      </w:r>
      <w:r>
        <w:rPr>
          <w:rStyle w:val="Emphasis"/>
          <w:i w:val="0"/>
          <w:sz w:val="20"/>
          <w:bdr w:val="none" w:sz="0" w:space="0" w:color="auto" w:frame="1"/>
          <w:shd w:val="clear" w:color="auto" w:fill="FFFFFF"/>
        </w:rPr>
        <w:t xml:space="preserve">  </w:t>
      </w:r>
      <w:r>
        <w:rPr>
          <w:rStyle w:val="Emphasis"/>
          <w:i w:val="0"/>
          <w:sz w:val="20"/>
          <w:bdr w:val="none" w:sz="0" w:space="0" w:color="auto" w:frame="1"/>
          <w:shd w:val="clear" w:color="auto" w:fill="FFFFFF"/>
        </w:rPr>
        <w:br/>
      </w:r>
      <w:r>
        <w:rPr>
          <w:rStyle w:val="Emphasis"/>
          <w:b/>
          <w:i w:val="0"/>
          <w:color w:val="005D9F"/>
          <w:sz w:val="20"/>
          <w:bdr w:val="none" w:sz="0" w:space="0" w:color="auto" w:frame="1"/>
          <w:shd w:val="clear" w:color="auto" w:fill="FFFFFF"/>
        </w:rPr>
        <w:br/>
      </w:r>
      <w:r>
        <w:rPr>
          <w:rStyle w:val="Emphasis"/>
          <w:b/>
          <w:i w:val="0"/>
          <w:sz w:val="20"/>
          <w:bdr w:val="none" w:sz="0" w:space="0" w:color="auto" w:frame="1"/>
          <w:shd w:val="clear" w:color="auto" w:fill="FFFFFF"/>
        </w:rPr>
        <w:t>Investeringsandel med miljømæssige/sociale karakteristika</w:t>
      </w:r>
      <w:r>
        <w:rPr>
          <w:rStyle w:val="Emphasis"/>
          <w:i w:val="0"/>
          <w:sz w:val="20"/>
        </w:rPr>
        <w:t xml:space="preserve"> – Mindst 70 % af fondens aktiver skal altid være investeret i finansielle instrumenter, der af investeringsforvalteren er kategoriseret som Ansvarlige eller Bæredygtige. </w:t>
      </w:r>
      <w:r>
        <w:rPr>
          <w:rStyle w:val="Emphasis"/>
          <w:i w:val="0"/>
          <w:sz w:val="20"/>
        </w:rPr>
        <w:br/>
      </w:r>
      <w:r>
        <w:rPr>
          <w:rStyle w:val="Strong"/>
          <w:sz w:val="20"/>
          <w:bdr w:val="none" w:sz="0" w:space="0" w:color="auto" w:frame="1"/>
          <w:shd w:val="clear" w:color="auto" w:fill="FFFFFF"/>
        </w:rPr>
        <w:t>Investeringsstrategiens bindende elementer</w:t>
      </w:r>
      <w:r>
        <w:rPr>
          <w:rStyle w:val="Strong"/>
          <w:i/>
          <w:color w:val="005D9F"/>
          <w:sz w:val="20"/>
          <w:bdr w:val="none" w:sz="0" w:space="0" w:color="auto" w:frame="1"/>
          <w:shd w:val="clear" w:color="auto" w:fill="FFFFFF"/>
        </w:rPr>
        <w:t xml:space="preserve"> </w:t>
      </w:r>
      <w:r>
        <w:rPr>
          <w:sz w:val="20"/>
        </w:rPr>
        <w:t xml:space="preserve">– Fonden fremmer miljømæssige og sociale karakteristika ved at </w:t>
      </w:r>
      <w:r>
        <w:rPr>
          <w:sz w:val="20"/>
        </w:rPr>
        <w:lastRenderedPageBreak/>
        <w:t xml:space="preserve">investere </w:t>
      </w:r>
      <w:r>
        <w:rPr>
          <w:rStyle w:val="Emphasis"/>
          <w:i w:val="0"/>
          <w:sz w:val="20"/>
          <w:bdr w:val="none" w:sz="0" w:space="0" w:color="auto" w:frame="1"/>
          <w:shd w:val="clear" w:color="auto" w:fill="FFFFFF"/>
        </w:rPr>
        <w:t xml:space="preserve">mindst </w:t>
      </w:r>
      <w:r>
        <w:rPr>
          <w:rStyle w:val="Emphasis"/>
          <w:i w:val="0"/>
          <w:sz w:val="20"/>
          <w:u w:val="single"/>
          <w:bdr w:val="none" w:sz="0" w:space="0" w:color="auto" w:frame="1"/>
          <w:shd w:val="clear" w:color="auto" w:fill="FFFFFF"/>
        </w:rPr>
        <w:t>70 % af fondens aktiver i finansielle instrumenter, der af investeringsforvalteren er kategoriseret som Ansvarlige eller Bæredygtige.</w:t>
      </w:r>
      <w:r>
        <w:rPr>
          <w:rStyle w:val="Emphasis"/>
          <w:i w:val="0"/>
          <w:sz w:val="20"/>
          <w:bdr w:val="none" w:sz="0" w:space="0" w:color="auto" w:frame="1"/>
          <w:shd w:val="clear" w:color="auto" w:fill="FFFFFF"/>
        </w:rPr>
        <w:t xml:space="preserve"> De resterende 30 % investeres i finansielle instrumenter, der er kategoriseret som Traditionelle, eller</w:t>
      </w:r>
      <w:r>
        <w:rPr>
          <w:rStyle w:val="Emphasis"/>
          <w:i w:val="0"/>
          <w:sz w:val="20"/>
        </w:rPr>
        <w:t xml:space="preserve"> </w:t>
      </w:r>
      <w:r>
        <w:rPr>
          <w:rStyle w:val="Emphasis"/>
          <w:i w:val="0"/>
          <w:sz w:val="20"/>
          <w:bdr w:val="none" w:sz="0" w:space="0" w:color="auto" w:frame="1"/>
          <w:shd w:val="clear" w:color="auto" w:fill="FFFFFF"/>
        </w:rPr>
        <w:t>i finansielle instrumenter, der ikke har en ESG-kategori tildelt af investeringsforvalteren.</w:t>
      </w:r>
      <w:r>
        <w:rPr>
          <w:rStyle w:val="Emphasis"/>
          <w:i w:val="0"/>
          <w:sz w:val="20"/>
        </w:rPr>
        <w:t xml:space="preserve"> </w:t>
      </w:r>
      <w:r>
        <w:rPr>
          <w:rStyle w:val="Emphasis"/>
          <w:i w:val="0"/>
          <w:sz w:val="20"/>
          <w:bdr w:val="none" w:sz="0" w:space="0" w:color="auto" w:frame="1"/>
          <w:shd w:val="clear" w:color="auto" w:fill="FFFFFF"/>
        </w:rPr>
        <w:t>I instrumenter godkendt af undtagelsesudvalget.</w:t>
      </w:r>
    </w:p>
    <w:p w14:paraId="09D1B46C" w14:textId="4D0FF90F" w:rsidR="00B74F98" w:rsidRPr="00536930" w:rsidRDefault="00921250" w:rsidP="00B74F98">
      <w:pPr>
        <w:rPr>
          <w:rFonts w:cstheme="minorHAnsi"/>
          <w:sz w:val="20"/>
          <w:szCs w:val="20"/>
        </w:rPr>
      </w:pPr>
      <w:r>
        <w:rPr>
          <w:rStyle w:val="Emphasis"/>
          <w:i w:val="0"/>
          <w:sz w:val="20"/>
        </w:rPr>
        <w:br/>
      </w:r>
      <w:r>
        <w:rPr>
          <w:rStyle w:val="Emphasis"/>
          <w:b/>
          <w:i w:val="0"/>
          <w:sz w:val="20"/>
          <w:bdr w:val="none" w:sz="0" w:space="0" w:color="auto" w:frame="1"/>
          <w:shd w:val="clear" w:color="auto" w:fill="FFFFFF"/>
        </w:rPr>
        <w:t>Overvågning af miljømæssige/sociale karakteristika</w:t>
      </w:r>
      <w:r>
        <w:rPr>
          <w:color w:val="000000"/>
          <w:kern w:val="0"/>
        </w:rPr>
        <w:t xml:space="preserve"> – </w:t>
      </w:r>
      <w:r w:rsidRPr="00F43784">
        <w:rPr>
          <w:color w:val="000000"/>
          <w:kern w:val="0"/>
          <w:sz w:val="20"/>
        </w:rPr>
        <w:t>Investeringsforvalteren har implementeret vurderingen af bæredygtighedsrisiciene i investeringsbeslutningerne for fonden. Det gælder både for investeringsprocessens indledende due diligence-stadie samt som led i det løbende tilsyn med fondens investeringer</w:t>
      </w:r>
      <w:r>
        <w:rPr>
          <w:color w:val="000000"/>
          <w:kern w:val="0"/>
          <w:sz w:val="20"/>
        </w:rPr>
        <w:t xml:space="preserve">. Integration af vurderinger af bæredygtighedsrisici i de faktiske investeringsbeslutninger søger at sikre, at der tages tilsvarende hensyn til bæredygtighedsrisiciene som til alle øvrige risici, der er integreret i beslutningsprocessen for investeringerne. </w:t>
      </w:r>
    </w:p>
    <w:p w14:paraId="138E30D7" w14:textId="78D2981A" w:rsidR="00B74F98" w:rsidRPr="00536930" w:rsidRDefault="001F4DA3" w:rsidP="00B74F98">
      <w:pPr>
        <w:rPr>
          <w:rFonts w:cstheme="minorHAnsi"/>
          <w:kern w:val="0"/>
          <w:sz w:val="20"/>
          <w:szCs w:val="20"/>
        </w:rPr>
      </w:pPr>
      <w:r>
        <w:rPr>
          <w:sz w:val="20"/>
          <w:bdr w:val="none" w:sz="0" w:space="0" w:color="auto" w:frame="1"/>
          <w:shd w:val="clear" w:color="auto" w:fill="FFFFFF"/>
        </w:rPr>
        <w:br/>
      </w:r>
      <w:r>
        <w:rPr>
          <w:rStyle w:val="Emphasis"/>
          <w:b/>
          <w:i w:val="0"/>
          <w:sz w:val="20"/>
          <w:bdr w:val="none" w:sz="0" w:space="0" w:color="auto" w:frame="1"/>
          <w:shd w:val="clear" w:color="auto" w:fill="FFFFFF"/>
        </w:rPr>
        <w:t>Begrænsninger i forhold til data og metoder</w:t>
      </w:r>
      <w:r>
        <w:rPr>
          <w:kern w:val="0"/>
          <w:sz w:val="20"/>
        </w:rPr>
        <w:t xml:space="preserve"> </w:t>
      </w:r>
      <w:r>
        <w:rPr>
          <w:color w:val="000000"/>
          <w:kern w:val="0"/>
          <w:sz w:val="20"/>
        </w:rPr>
        <w:t>– Vurdering af bæredygtighedsrisici er indviklet og kan være baseret på ESG-data, der er tilvejebragt af eksterne dataleverandører med udspring i dataleverandørernes egenudviklede metoder. ESG-data</w:t>
      </w:r>
      <w:r>
        <w:rPr>
          <w:kern w:val="0"/>
          <w:sz w:val="20"/>
        </w:rPr>
        <w:t xml:space="preserve">, herunder vurderinger, er eventuelt ikke nøjagtige, fuldstændige, opdaterede og/eller løbende tilgængelige, og for visse udstedere kan det alt efter udstederens gennemsigtighed samt offentligt tilgængelige oplysninger være vanskeligt at indhente dataene. </w:t>
      </w:r>
    </w:p>
    <w:p w14:paraId="172258C8" w14:textId="42220D9D" w:rsidR="00536930" w:rsidRDefault="006A0066" w:rsidP="00B74F98">
      <w:pPr>
        <w:rPr>
          <w:rFonts w:cstheme="minorHAnsi"/>
          <w:sz w:val="20"/>
          <w:szCs w:val="20"/>
        </w:rPr>
      </w:pPr>
      <w:r>
        <w:rPr>
          <w:rStyle w:val="Emphasis"/>
          <w:b/>
          <w:i w:val="0"/>
          <w:sz w:val="20"/>
          <w:bdr w:val="none" w:sz="0" w:space="0" w:color="auto" w:frame="1"/>
          <w:shd w:val="clear" w:color="auto" w:fill="FFFFFF"/>
        </w:rPr>
        <w:t>Due Diligence-proces og aktivt ejerskab</w:t>
      </w:r>
      <w:r>
        <w:t xml:space="preserve"> – </w:t>
      </w:r>
      <w:r>
        <w:rPr>
          <w:sz w:val="20"/>
        </w:rPr>
        <w:t xml:space="preserve">Potentielle investeringer er først og fremmest underlagt due diligence udført af investeringsforvalterens fondsanalytikere. Dette udmønter sig i en "købsliste" over godkendte fonde, der dækker alle aktivklasser, regioner og specifikke temaer. Investeringsforvalteren anvender efter eget skøn derefter købslisterne til at vælge de individuelle investeringer til fonden og følger samme proces og metode, som anvendes for alle øvrige investerings- og værdipapirvalg, for at opnå eksponering for de forskellige aktivklasser, der er repræsenteret i fondens taktiske aktivallokering. </w:t>
      </w:r>
    </w:p>
    <w:p w14:paraId="7C14FD81" w14:textId="2C4EDE58" w:rsidR="00536930" w:rsidRDefault="00141700" w:rsidP="00B74F98">
      <w:pPr>
        <w:rPr>
          <w:rStyle w:val="Emphasis"/>
          <w:rFonts w:cstheme="minorHAnsi"/>
          <w:i w:val="0"/>
          <w:iCs w:val="0"/>
          <w:sz w:val="20"/>
          <w:szCs w:val="20"/>
          <w:bdr w:val="none" w:sz="0" w:space="0" w:color="auto" w:frame="1"/>
          <w:shd w:val="clear" w:color="auto" w:fill="FFFFFF"/>
        </w:rPr>
      </w:pPr>
      <w:r>
        <w:rPr>
          <w:sz w:val="20"/>
        </w:rPr>
        <w:br/>
      </w:r>
      <w:r>
        <w:rPr>
          <w:rStyle w:val="Emphasis"/>
          <w:b/>
          <w:i w:val="0"/>
          <w:sz w:val="20"/>
          <w:bdr w:val="none" w:sz="0" w:space="0" w:color="auto" w:frame="1"/>
          <w:shd w:val="clear" w:color="auto" w:fill="FFFFFF"/>
        </w:rPr>
        <w:t>Indvirkning af bæredygtighedsrisici på fondens afkast –</w:t>
      </w:r>
      <w:r>
        <w:rPr>
          <w:rStyle w:val="Emphasis"/>
          <w:color w:val="666666"/>
          <w:sz w:val="20"/>
          <w:bdr w:val="none" w:sz="0" w:space="0" w:color="auto" w:frame="1"/>
          <w:shd w:val="clear" w:color="auto" w:fill="FFFFFF"/>
        </w:rPr>
        <w:t xml:space="preserve"> </w:t>
      </w:r>
      <w:r>
        <w:rPr>
          <w:rStyle w:val="Emphasis"/>
          <w:i w:val="0"/>
          <w:sz w:val="20"/>
          <w:bdr w:val="none" w:sz="0" w:space="0" w:color="auto" w:frame="1"/>
          <w:shd w:val="clear" w:color="auto" w:fill="FFFFFF"/>
        </w:rPr>
        <w:t>Faktorer for bæredygtighedsrisici er generelt mellemlange til langsigtede investeringsrisici, der også kan gøre sig gældende på kort sigt. De kan opstå inden for tre dimensioner: miljømæssige, sociale og ledelsesmæssige risici. Eksempel: Bæredygtighedsrisici kan opstå som udstederspecifikke risici for ekstreme tab. Den type udstederspecifikke bæredygtighedsrisici opstår typisk sjældent og med lav sandsynlighed, men kan have stor økonomisk indvirkning og føre til væsentlige økonomiske tab for fonden. Investeringsforvalteren anerkender, at fondens eksponering for bæredygtighedsrisici udvikler sig løbende, og overvåger derfor fondens eksponering for sådanne risici.</w:t>
      </w:r>
    </w:p>
    <w:p w14:paraId="6E264126" w14:textId="6D8A6F4F" w:rsidR="00536930" w:rsidRDefault="001F4DA3" w:rsidP="00B74F98">
      <w:pPr>
        <w:rPr>
          <w:rStyle w:val="Emphasis"/>
          <w:rFonts w:cstheme="minorHAnsi"/>
          <w:i w:val="0"/>
          <w:iCs w:val="0"/>
          <w:sz w:val="20"/>
          <w:szCs w:val="20"/>
          <w:bdr w:val="none" w:sz="0" w:space="0" w:color="auto" w:frame="1"/>
          <w:shd w:val="clear" w:color="auto" w:fill="FFFFFF"/>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Vigtigste negative indvirkninger</w:t>
      </w:r>
      <w:r>
        <w:rPr>
          <w:rStyle w:val="Emphasis"/>
          <w:i w:val="0"/>
          <w:sz w:val="20"/>
          <w:bdr w:val="none" w:sz="0" w:space="0" w:color="auto" w:frame="1"/>
          <w:shd w:val="clear" w:color="auto" w:fill="FFFFFF"/>
        </w:rPr>
        <w:t xml:space="preserve"> – Investeringsforvalteren og forvalteren tager for indeværende ikke hensyn til investeringsbeslutningernes potentielle negative indvirkninger på fondens bæredygtighedsfaktorer. Da fonden ikke fremmer miljømæssige eller sociale karakteristika eller har bæredygtig investering som mål, har man besluttet, at investeringsforvalteren og forvalteren ikke søger at vurdere sådanne negative indvirkninger på bæredygtighedsfaktorer.</w:t>
      </w:r>
    </w:p>
    <w:p w14:paraId="12554B61" w14:textId="72DD08A1" w:rsidR="00FE1E2C" w:rsidRPr="00536930" w:rsidRDefault="001F4DA3" w:rsidP="00B74F98">
      <w:pPr>
        <w:rPr>
          <w:rFonts w:cstheme="minorHAnsi"/>
          <w:color w:val="000000" w:themeColor="text1"/>
          <w:kern w:val="0"/>
          <w:sz w:val="20"/>
          <w:szCs w:val="20"/>
        </w:rPr>
      </w:pPr>
      <w:r>
        <w:rPr>
          <w:rStyle w:val="Emphasis"/>
          <w:i w:val="0"/>
          <w:sz w:val="20"/>
          <w:bdr w:val="none" w:sz="0" w:space="0" w:color="auto" w:frame="1"/>
          <w:shd w:val="clear" w:color="auto" w:fill="FFFFFF"/>
        </w:rPr>
        <w:br/>
      </w:r>
      <w:r>
        <w:rPr>
          <w:rStyle w:val="Emphasis"/>
          <w:b/>
          <w:i w:val="0"/>
          <w:sz w:val="20"/>
          <w:bdr w:val="none" w:sz="0" w:space="0" w:color="auto" w:frame="1"/>
          <w:shd w:val="clear" w:color="auto" w:fill="FFFFFF"/>
        </w:rPr>
        <w:t>Benchmark –</w:t>
      </w:r>
      <w:r>
        <w:rPr>
          <w:rStyle w:val="Emphasis"/>
          <w:i w:val="0"/>
          <w:sz w:val="20"/>
          <w:bdr w:val="none" w:sz="0" w:space="0" w:color="auto" w:frame="1"/>
          <w:shd w:val="clear" w:color="auto" w:fill="FFFFFF"/>
        </w:rPr>
        <w:t xml:space="preserve"> </w:t>
      </w:r>
      <w:r>
        <w:rPr>
          <w:color w:val="000000" w:themeColor="text1"/>
          <w:kern w:val="0"/>
          <w:sz w:val="20"/>
        </w:rPr>
        <w:t xml:space="preserve">Fonden er aktivt forvaltet af investeringsforvalteren, og fonden begrænses ikke af et referenceindeks. Fonden anvender udelukkende benchmarket </w:t>
      </w:r>
      <w:r>
        <w:rPr>
          <w:i/>
          <w:color w:val="000000" w:themeColor="text1"/>
          <w:kern w:val="0"/>
          <w:sz w:val="20"/>
        </w:rPr>
        <w:t>MSCI Switzerland Net Total Return Local Index</w:t>
      </w:r>
      <w:r>
        <w:rPr>
          <w:color w:val="000000" w:themeColor="text1"/>
          <w:kern w:val="0"/>
          <w:sz w:val="20"/>
        </w:rPr>
        <w:t xml:space="preserve"> med henblik på sammenligning af resultaterne, og investeringsforvalteren har brede beføjelser til at afvige fra benchmarkets bestanddele, vægtninger og risikomæssige karakteristika inden for rammerne af fondens mål og investeringspolitik. Det svinger over tid, i hvor høj grad fonden matcher benchmarkets sammensætning og risikomæssige karakteristika, og fondens resultater kan adskille sig væsentligt fra eller lægge sig nærmere op ad benchmarket.</w:t>
      </w:r>
    </w:p>
    <w:p w14:paraId="5FE43FB7" w14:textId="77777777" w:rsidR="00B74F98" w:rsidRPr="00536930" w:rsidRDefault="00B74F98" w:rsidP="00B74F98">
      <w:pPr>
        <w:rPr>
          <w:rFonts w:cstheme="minorHAnsi"/>
          <w:color w:val="000000" w:themeColor="text1"/>
          <w:kern w:val="0"/>
          <w:sz w:val="20"/>
          <w:szCs w:val="20"/>
        </w:rPr>
      </w:pPr>
    </w:p>
    <w:p w14:paraId="407B049A" w14:textId="4880A280" w:rsidR="00B74F98" w:rsidRPr="00536930" w:rsidRDefault="00B74F98" w:rsidP="00B74F98">
      <w:pPr>
        <w:rPr>
          <w:rFonts w:cstheme="minorHAnsi"/>
          <w:i/>
          <w:iCs/>
          <w:sz w:val="20"/>
          <w:szCs w:val="20"/>
          <w:bdr w:val="none" w:sz="0" w:space="0" w:color="auto" w:frame="1"/>
          <w:shd w:val="clear" w:color="auto" w:fill="FFFFFF"/>
        </w:rPr>
      </w:pPr>
      <w:r>
        <w:rPr>
          <w:i/>
          <w:sz w:val="20"/>
        </w:rPr>
        <w:t>Yderligere oplysninger om den investeringsstrategi, investeringsforvalteren anvender til at opnå fondens bæredygtige investeringsmål, findes på https://www.threerockcapital.com/sfdr-disclosure/</w:t>
      </w:r>
    </w:p>
    <w:sectPr w:rsidR="00B74F98" w:rsidRPr="00536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5EC7" w14:textId="77777777" w:rsidR="00FE1E2C" w:rsidRDefault="00FE1E2C" w:rsidP="00FE1E2C">
      <w:pPr>
        <w:spacing w:after="0" w:line="240" w:lineRule="auto"/>
      </w:pPr>
      <w:r>
        <w:separator/>
      </w:r>
    </w:p>
  </w:endnote>
  <w:endnote w:type="continuationSeparator" w:id="0">
    <w:p w14:paraId="3AB84A9D" w14:textId="77777777" w:rsidR="00FE1E2C" w:rsidRDefault="00FE1E2C" w:rsidP="00FE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E163" w14:textId="77777777" w:rsidR="00FE1E2C" w:rsidRDefault="00FE1E2C" w:rsidP="00FE1E2C">
      <w:pPr>
        <w:spacing w:after="0" w:line="240" w:lineRule="auto"/>
      </w:pPr>
      <w:r>
        <w:separator/>
      </w:r>
    </w:p>
  </w:footnote>
  <w:footnote w:type="continuationSeparator" w:id="0">
    <w:p w14:paraId="288D29AC" w14:textId="77777777" w:rsidR="00FE1E2C" w:rsidRDefault="00FE1E2C" w:rsidP="00FE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68D"/>
    <w:multiLevelType w:val="hybridMultilevel"/>
    <w:tmpl w:val="10B42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9A241F4"/>
    <w:multiLevelType w:val="hybridMultilevel"/>
    <w:tmpl w:val="DF08E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45F1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91290780">
    <w:abstractNumId w:val="2"/>
  </w:num>
  <w:num w:numId="2" w16cid:durableId="1654942476">
    <w:abstractNumId w:val="0"/>
  </w:num>
  <w:num w:numId="3" w16cid:durableId="1761412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jb_classification_visible" w:val="False"/>
  </w:docVars>
  <w:rsids>
    <w:rsidRoot w:val="00FE1E2C"/>
    <w:rsid w:val="000B2A18"/>
    <w:rsid w:val="000E382F"/>
    <w:rsid w:val="00141700"/>
    <w:rsid w:val="00150491"/>
    <w:rsid w:val="00170284"/>
    <w:rsid w:val="001B01ED"/>
    <w:rsid w:val="001D4A9D"/>
    <w:rsid w:val="001F4DA3"/>
    <w:rsid w:val="00203B48"/>
    <w:rsid w:val="00203EE4"/>
    <w:rsid w:val="0026415E"/>
    <w:rsid w:val="002C4B8C"/>
    <w:rsid w:val="00357BAA"/>
    <w:rsid w:val="003A2837"/>
    <w:rsid w:val="003B0D15"/>
    <w:rsid w:val="004223BB"/>
    <w:rsid w:val="00536930"/>
    <w:rsid w:val="00574BA2"/>
    <w:rsid w:val="005855A6"/>
    <w:rsid w:val="0059188E"/>
    <w:rsid w:val="005F3617"/>
    <w:rsid w:val="006A0066"/>
    <w:rsid w:val="006F7F45"/>
    <w:rsid w:val="007B4495"/>
    <w:rsid w:val="007D38A4"/>
    <w:rsid w:val="00921250"/>
    <w:rsid w:val="009510B6"/>
    <w:rsid w:val="00B547DF"/>
    <w:rsid w:val="00B67838"/>
    <w:rsid w:val="00B74F98"/>
    <w:rsid w:val="00B97422"/>
    <w:rsid w:val="00BC1AB3"/>
    <w:rsid w:val="00D54532"/>
    <w:rsid w:val="00DB45D8"/>
    <w:rsid w:val="00EF04B1"/>
    <w:rsid w:val="00F36325"/>
    <w:rsid w:val="00F37000"/>
    <w:rsid w:val="00F43784"/>
    <w:rsid w:val="00FB3F21"/>
    <w:rsid w:val="00FE1E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153DE"/>
  <w15:chartTrackingRefBased/>
  <w15:docId w15:val="{2609A00D-CEE0-4B0A-87D7-3DF6391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E2C"/>
  </w:style>
  <w:style w:type="paragraph" w:styleId="Footer">
    <w:name w:val="footer"/>
    <w:basedOn w:val="Normal"/>
    <w:link w:val="FooterChar"/>
    <w:uiPriority w:val="99"/>
    <w:unhideWhenUsed/>
    <w:rsid w:val="00FE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E2C"/>
  </w:style>
  <w:style w:type="paragraph" w:styleId="NormalWeb">
    <w:name w:val="Normal (Web)"/>
    <w:basedOn w:val="Normal"/>
    <w:uiPriority w:val="99"/>
    <w:unhideWhenUsed/>
    <w:rsid w:val="00FE1E2C"/>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FE1E2C"/>
    <w:rPr>
      <w:i/>
      <w:iCs/>
    </w:rPr>
  </w:style>
  <w:style w:type="paragraph" w:customStyle="1" w:styleId="Default">
    <w:name w:val="Default"/>
    <w:rsid w:val="00FE1E2C"/>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3A2837"/>
    <w:rPr>
      <w:b/>
      <w:bCs/>
    </w:rPr>
  </w:style>
  <w:style w:type="paragraph" w:styleId="ListParagraph">
    <w:name w:val="List Paragraph"/>
    <w:basedOn w:val="Normal"/>
    <w:uiPriority w:val="34"/>
    <w:qFormat/>
    <w:rsid w:val="006A0066"/>
    <w:pPr>
      <w:ind w:left="720"/>
      <w:contextualSpacing/>
    </w:pPr>
  </w:style>
  <w:style w:type="paragraph" w:styleId="Revision">
    <w:name w:val="Revision"/>
    <w:hidden/>
    <w:uiPriority w:val="99"/>
    <w:semiHidden/>
    <w:rsid w:val="006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B501D-79B7-4C01-8FED-EB910488E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Citrolo, Giulia</dc:creator>
  <cp:keywords/>
  <dc:description/>
  <cp:lastModifiedBy>DelPinoCostan, Juan</cp:lastModifiedBy>
  <cp:revision>7</cp:revision>
  <dcterms:created xsi:type="dcterms:W3CDTF">2024-05-29T11:22:00Z</dcterms:created>
  <dcterms:modified xsi:type="dcterms:W3CDTF">2024-06-05T15:46:00Z</dcterms:modified>
  <cp:contentStatus>## JB Classification: internal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b_timestamp">
    <vt:lpwstr>2024052912150550</vt:lpwstr>
  </property>
</Properties>
</file>