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rsidP="00E727AF">
      <w:pPr>
        <w:spacing w:line="204" w:lineRule="auto"/>
        <w:rPr>
          <w:b/>
          <w:bCs/>
        </w:rPr>
      </w:pPr>
      <w:r>
        <w:rPr>
          <w:noProof/>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rsidP="00E727AF">
      <w:pPr>
        <w:spacing w:line="204" w:lineRule="auto"/>
        <w:rPr>
          <w:b/>
          <w:bCs/>
        </w:rPr>
      </w:pPr>
    </w:p>
    <w:p w14:paraId="0367A7E7" w14:textId="4E66D032" w:rsidR="005855A6" w:rsidRDefault="00FE1E2C" w:rsidP="00E727AF">
      <w:pPr>
        <w:spacing w:line="204" w:lineRule="auto"/>
        <w:rPr>
          <w:b/>
          <w:bCs/>
        </w:rPr>
      </w:pPr>
      <w:r>
        <w:rPr>
          <w:b/>
        </w:rPr>
        <w:t xml:space="preserve">Premium Selection UCITS ICAV </w:t>
      </w:r>
    </w:p>
    <w:p w14:paraId="2DBCA78C" w14:textId="77777777" w:rsidR="005855A6" w:rsidRDefault="005855A6" w:rsidP="00E727AF">
      <w:pPr>
        <w:spacing w:line="204" w:lineRule="auto"/>
        <w:rPr>
          <w:b/>
          <w:bCs/>
        </w:rPr>
      </w:pPr>
    </w:p>
    <w:p w14:paraId="4622AC0B" w14:textId="3AA105C3" w:rsidR="00FE1E2C" w:rsidRPr="00BC1AB3" w:rsidRDefault="005855A6" w:rsidP="00E727AF">
      <w:pPr>
        <w:spacing w:line="204" w:lineRule="auto"/>
        <w:rPr>
          <w:b/>
          <w:bCs/>
        </w:rPr>
      </w:pPr>
      <w:r>
        <w:rPr>
          <w:b/>
        </w:rPr>
        <w:t>Julius Baer Edelweiss Swiss Equity – ένα επιμέρους κεφάλαιο του Premium Selection UCITS ICAV– SFDR Περιληπτικό Έγγραφο Γνωστοποιήσεων– 07/06/2024</w:t>
      </w:r>
    </w:p>
    <w:p w14:paraId="16E6156F" w14:textId="32CA1CA9" w:rsidR="00B74F98" w:rsidRPr="00536930" w:rsidRDefault="00FE1E2C" w:rsidP="00E727AF">
      <w:pPr>
        <w:pStyle w:val="NormalWeb"/>
        <w:shd w:val="clear" w:color="auto" w:fill="FFFFFF"/>
        <w:spacing w:before="0" w:beforeAutospacing="0" w:after="0" w:afterAutospacing="0" w:line="204" w:lineRule="auto"/>
        <w:textAlignment w:val="baseline"/>
        <w:rPr>
          <w:rFonts w:asciiTheme="minorHAnsi" w:hAnsiTheme="minorHAnsi" w:cstheme="minorHAnsi"/>
          <w:sz w:val="20"/>
          <w:szCs w:val="20"/>
        </w:rPr>
      </w:pPr>
      <w:r>
        <w:rPr>
          <w:rStyle w:val="Emphasis"/>
          <w:rFonts w:asciiTheme="minorHAnsi" w:hAnsiTheme="minorHAnsi"/>
          <w:b/>
          <w:i w:val="0"/>
          <w:sz w:val="20"/>
          <w:bdr w:val="none" w:sz="0" w:space="0" w:color="auto" w:frame="1"/>
        </w:rPr>
        <w:t>Στόχος Αειφόρας Επένδυσης</w:t>
      </w:r>
      <w:r>
        <w:t xml:space="preserve">- </w:t>
      </w:r>
      <w:r>
        <w:rPr>
          <w:rFonts w:asciiTheme="minorHAnsi" w:hAnsiTheme="minorHAnsi"/>
          <w:sz w:val="20"/>
        </w:rPr>
        <w:t>Το Αμοιβαίο Κεφάλαιο προάγει περιβαλλοντικά ή κοινωνικά χαρακτηριστικά, ωστόσο δεν έχει ως στόχο του μια αειφόρα επένδυση.</w:t>
      </w:r>
    </w:p>
    <w:p w14:paraId="0EF770F2" w14:textId="77777777" w:rsidR="00B74F98" w:rsidRPr="00536930" w:rsidRDefault="00B74F98" w:rsidP="00E727AF">
      <w:pPr>
        <w:pStyle w:val="NormalWeb"/>
        <w:shd w:val="clear" w:color="auto" w:fill="FFFFFF"/>
        <w:spacing w:before="0" w:beforeAutospacing="0" w:after="0" w:afterAutospacing="0" w:line="204" w:lineRule="auto"/>
        <w:textAlignment w:val="baseline"/>
        <w:rPr>
          <w:rFonts w:asciiTheme="minorHAnsi" w:hAnsiTheme="minorHAnsi" w:cstheme="minorHAnsi"/>
          <w:sz w:val="20"/>
          <w:szCs w:val="20"/>
        </w:rPr>
      </w:pPr>
    </w:p>
    <w:p w14:paraId="60ADB336" w14:textId="0EBA3C04" w:rsidR="006A0066" w:rsidRPr="00536930" w:rsidRDefault="00FE1E2C" w:rsidP="00E727AF">
      <w:pPr>
        <w:pStyle w:val="NormalWeb"/>
        <w:shd w:val="clear" w:color="auto" w:fill="FFFFFF"/>
        <w:spacing w:before="0" w:beforeAutospacing="0" w:after="0" w:afterAutospacing="0" w:line="204" w:lineRule="auto"/>
        <w:textAlignment w:val="baseline"/>
        <w:rPr>
          <w:rFonts w:asciiTheme="minorHAnsi" w:hAnsiTheme="minorHAnsi" w:cstheme="minorHAnsi"/>
          <w:i/>
          <w:iCs/>
          <w:color w:val="666666"/>
          <w:sz w:val="20"/>
          <w:szCs w:val="20"/>
          <w:bdr w:val="none" w:sz="0" w:space="0" w:color="auto" w:frame="1"/>
        </w:rPr>
      </w:pPr>
      <w:r>
        <w:rPr>
          <w:rStyle w:val="Emphasis"/>
          <w:rFonts w:asciiTheme="minorHAnsi" w:hAnsiTheme="minorHAnsi"/>
          <w:b/>
          <w:i w:val="0"/>
          <w:sz w:val="20"/>
          <w:bdr w:val="none" w:sz="0" w:space="0" w:color="auto" w:frame="1"/>
        </w:rPr>
        <w:t>Περιβαλλοντικά/Κοινωνικά Χαρακτηριστικά του Αμοιβαίου Κεφαλαίου</w:t>
      </w:r>
      <w:r>
        <w:t>- </w:t>
      </w:r>
      <w:r>
        <w:rPr>
          <w:rFonts w:asciiTheme="minorHAnsi" w:hAnsiTheme="minorHAnsi"/>
          <w:sz w:val="20"/>
        </w:rPr>
        <w:t xml:space="preserve">Το Αμοιβαίο Κεφάλαιο προάγει τα ακόλουθα περιβαλλοντικά και κοινωνικά χαρακτηριστικά: *Κλιματική αλλαγή - μετριασμός και προσαρμογή, *Διατήρηση της βιοποικιλότητας, *Καλές συνθήκες εργαζομένων, *Σεβασμός παγκοσμίων προτύπων και προδιαγραφών. </w:t>
      </w:r>
    </w:p>
    <w:p w14:paraId="701A8DFC" w14:textId="77777777" w:rsidR="00B74F98" w:rsidRPr="00536930" w:rsidRDefault="00FE1E2C" w:rsidP="00E727AF">
      <w:pPr>
        <w:pStyle w:val="Default"/>
        <w:spacing w:line="204" w:lineRule="auto"/>
        <w:rPr>
          <w:rFonts w:cstheme="minorHAnsi"/>
          <w:sz w:val="20"/>
          <w:szCs w:val="20"/>
        </w:rPr>
      </w:pPr>
      <w:r>
        <w:rPr>
          <w:sz w:val="20"/>
        </w:rPr>
        <w:t xml:space="preserve">Προκειμένου να διασφαλιστεί ότι το Αμοιβαίο Κεφάλαιο διατηρεί το προφίλ του ESG, το Κεφάλαιο οφείλει να επενδύει σε επενδύσεις που συμμορφώνονται με τα κατώτερα όρια της αποκλειστικής </w:t>
      </w:r>
      <w:r>
        <w:rPr>
          <w:b/>
          <w:sz w:val="20"/>
        </w:rPr>
        <w:t>Μεθοδολογίας Αξιολόγησης Βιώσιμων Επενδύσεων</w:t>
      </w:r>
      <w:r>
        <w:rPr>
          <w:sz w:val="20"/>
        </w:rPr>
        <w:t xml:space="preserve"> του Διαχειριστή Επενδύσεων.</w:t>
      </w:r>
    </w:p>
    <w:p w14:paraId="682E783E" w14:textId="2619686A" w:rsidR="00B74F98" w:rsidRPr="00536930" w:rsidRDefault="00DB45D8" w:rsidP="00E727AF">
      <w:pPr>
        <w:pStyle w:val="Default"/>
        <w:spacing w:line="204" w:lineRule="auto"/>
        <w:rPr>
          <w:rFonts w:cstheme="minorHAnsi"/>
          <w:sz w:val="20"/>
          <w:szCs w:val="20"/>
        </w:rPr>
      </w:pPr>
      <w:r>
        <w:rPr>
          <w:sz w:val="20"/>
        </w:rPr>
        <w:t>Ο διαχειριστής χρησιμοποιεί μια Βαθμολογία Κλίματος που αντιμετωπίζει το ζήτημα των εκπομπών αερίων του θερμοκηπίου και την έκθεση μιας εκδότριας εταιρείας στην μετατόπιση προς έναν κόσμο με μηδενικό καθαρό αντίκτυπο (net-zero). Η Βαθμολογία Κλίματος βασίζεται στην ένταση εκπομπών άνθρακα πεδίου 1 και πεδίου 2 (που είναι οι κύριοι δείκτες δυσμενών επιπτώσεων) που αντιπροσωπεύει τις εκπομπές άνθρακα σε κλίμακα ανάλογα με το μέγεθος της εκδότριας εταιρείας. Η Βαθμολογία Φυσικού Κεφαλαίου αναφέρεται στα ζητήματα της βιοποικιλότητας, της ρύπανσης, και επιτρέπει τον εντοπισμό εταιρειών με σημαντική έκθεση και επίδραση σε περιβαλλοντικά ζητήματα πέραν του κλίματος. Ο δείκτης Global Norms Score εστιάζει στις λειτουργίες μιας εκδότριας εταιρείας και την συμμόρφωσή της με παγκοσμίως αποδεκτά πρότυπα ανθρωπίνων δικαιωμάτων, εργασιακών δικαιωμάτων και υπεύθυνης επιχειρηματικής πρακτικής. Ο δείκτης Human Capital Score καλύπτει πολιτικές στον εργασιακό χώρο που αφορούν τις συνθήκες και την εξέλιξη των εργαζομένων. .</w:t>
      </w:r>
    </w:p>
    <w:p w14:paraId="3CF4B36E" w14:textId="77777777" w:rsidR="00B74F98" w:rsidRPr="00536930" w:rsidRDefault="00B74F98" w:rsidP="00E727AF">
      <w:pPr>
        <w:pStyle w:val="Default"/>
        <w:spacing w:line="204" w:lineRule="auto"/>
        <w:rPr>
          <w:rFonts w:cstheme="minorHAnsi"/>
          <w:sz w:val="20"/>
          <w:szCs w:val="20"/>
        </w:rPr>
      </w:pPr>
    </w:p>
    <w:p w14:paraId="2391313A" w14:textId="5FDD6366" w:rsidR="00B74F98" w:rsidRPr="00536930" w:rsidRDefault="00DB45D8" w:rsidP="00E727AF">
      <w:pPr>
        <w:spacing w:line="204" w:lineRule="auto"/>
        <w:rPr>
          <w:rFonts w:cstheme="minorHAnsi"/>
          <w:sz w:val="20"/>
          <w:szCs w:val="20"/>
        </w:rPr>
      </w:pPr>
      <w:r>
        <w:rPr>
          <w:rStyle w:val="Emphasis"/>
          <w:b/>
          <w:i w:val="0"/>
          <w:sz w:val="20"/>
          <w:bdr w:val="none" w:sz="0" w:space="0" w:color="auto" w:frame="1"/>
          <w:shd w:val="clear" w:color="auto" w:fill="FFFFFF"/>
        </w:rPr>
        <w:t>Επενδυτική Στρατηγική για το Αμοιβαίο Κεφάλαιο.</w:t>
      </w:r>
      <w:r>
        <w:rPr>
          <w:rStyle w:val="Emphasis"/>
          <w:b/>
          <w:color w:val="005D9F"/>
          <w:sz w:val="20"/>
          <w:bdr w:val="none" w:sz="0" w:space="0" w:color="auto" w:frame="1"/>
          <w:shd w:val="clear" w:color="auto" w:fill="FFFFFF"/>
        </w:rPr>
        <w:t xml:space="preserve"> </w:t>
      </w:r>
      <w:r>
        <w:rPr>
          <w:sz w:val="20"/>
        </w:rPr>
        <w:t>Το Αμοιβαίο Κεφάλαιο επενδύει κυρίως σε μετοχές ελβετικών εταιρειών, οι οποίες είναι καταχωρημένες στο SPI και εκφράζονται σε CHF. Αναμένεται ότι το επενδυτικό σύμπαν θα είναι περίπου 80-100 μετοχές. Το χαρτοφυλάκιο αποτελείται κυρίως από δυο κατηγορίες περιουσιακών στοιχείων, ήτοι μετρητά και μετοχές, και διαρθρώνεται σχεδόν αποκλειστικά από μεμονωμένες μετοχές.</w:t>
      </w:r>
    </w:p>
    <w:p w14:paraId="731C0062" w14:textId="1E7A18A3" w:rsidR="00536930" w:rsidRDefault="00DB45D8" w:rsidP="00E727AF">
      <w:pPr>
        <w:spacing w:line="204" w:lineRule="auto"/>
        <w:rPr>
          <w:rStyle w:val="Emphasis"/>
          <w:rFonts w:cstheme="minorHAnsi"/>
          <w:i w:val="0"/>
          <w:iCs w:val="0"/>
          <w:sz w:val="20"/>
          <w:szCs w:val="20"/>
        </w:rPr>
      </w:pPr>
      <w:r>
        <w:rPr>
          <w:sz w:val="20"/>
        </w:rPr>
        <w:t xml:space="preserve"> </w:t>
      </w:r>
      <w:r>
        <w:rPr>
          <w:rStyle w:val="Emphasis"/>
          <w:b/>
          <w:i w:val="0"/>
          <w:sz w:val="20"/>
          <w:bdr w:val="none" w:sz="0" w:space="0" w:color="auto" w:frame="1"/>
          <w:shd w:val="clear" w:color="auto" w:fill="FFFFFF"/>
        </w:rPr>
        <w:t>Μεθοδολογίες που χρησιμοποιούνται για την μέτρηση της επίτευξης των κοινωνικών ή περιβαλλοντικών χαρακτηριστικών</w:t>
      </w:r>
      <w:r>
        <w:rPr>
          <w:rStyle w:val="Emphasis"/>
          <w:b/>
          <w:color w:val="005D9F"/>
          <w:sz w:val="20"/>
          <w:bdr w:val="none" w:sz="0" w:space="0" w:color="auto" w:frame="1"/>
          <w:shd w:val="clear" w:color="auto" w:fill="FFFFFF"/>
        </w:rPr>
        <w:t xml:space="preserve">- </w:t>
      </w:r>
      <w:r>
        <w:rPr>
          <w:sz w:val="20"/>
        </w:rPr>
        <w:t xml:space="preserve">Το Αμοιβαίο Κεφάλαιο προάγει περιβαλλοντικά ή κοινωνικά χαρακτηριστικά επενδύοντας σε μέσα που συμμορφώνονται με την αποκλειστική Μεθοδολογία Αξιολόγησης Βιώσιμων Επενδύσεων του Διαχειριστή Επενδύσεων (η «Μεθοδολογία Βιώσιμων Επενδύσεων»). Η Μεθοδολογία Βιώσιμων Επενδύσεων είναι δομημένη σε τρία επίπεδα: </w:t>
      </w:r>
      <w:r>
        <w:rPr>
          <w:sz w:val="20"/>
        </w:rPr>
        <w:br/>
        <w:t>(1) Το πρώτο επίπεδο είναι η συλλογή μη-επεξεργασμένων δεδομένων ESG από διάφορους εξωτερικούς παρόχους δεδομένων, καθώς και εσωτερική θεματική έρευνα σε σχέση με θέματα επενδύσεων που συνδέονται με βιώσιμους στόχους, (2) Στη συνέχεια, ορισμένες θεματικές βαθμολογίες υπολογίζονται με βάση τα μη-επεξεργασμένα δεδομένα ESG και την εσωτερική θεματική έρευνα, (3) Στο τελευταίο επίπεδο, προκύπτουν τέσσερις διαφορετικές κατηγορίες ESG με τη χρήση συνδυασμού θεματικών βαθμολογιών και ορισμένων δεικτών (επεξεργασμένα δεδομένα ESG όπως βαθμολογίες) που παρέχονται απευθείας από διάφορους παρόχους δεδομένων ESG. Οι τέσσερις κατηγορίες ESG που προκύπτουν από τη διαδικασία είναι οι</w:t>
      </w:r>
      <w:r>
        <w:rPr>
          <w:i/>
          <w:sz w:val="20"/>
        </w:rPr>
        <w:t xml:space="preserve"> «Κίνδυνος ESG», «Παραδοσιακή», «Υπεύθυνη» και «Βιώσιμη».</w:t>
      </w:r>
      <w:r>
        <w:rPr>
          <w:rStyle w:val="Emphasis"/>
          <w:i w:val="0"/>
          <w:sz w:val="20"/>
          <w:bdr w:val="none" w:sz="0" w:space="0" w:color="auto" w:frame="1"/>
          <w:shd w:val="clear" w:color="auto" w:fill="FFFFFF"/>
        </w:rPr>
        <w:t xml:space="preserve">  </w:t>
      </w:r>
      <w:r>
        <w:rPr>
          <w:rStyle w:val="Emphasis"/>
          <w:i w:val="0"/>
          <w:sz w:val="20"/>
          <w:bdr w:val="none" w:sz="0" w:space="0" w:color="auto" w:frame="1"/>
          <w:shd w:val="clear" w:color="auto" w:fill="FFFFFF"/>
        </w:rPr>
        <w:br/>
      </w:r>
      <w:r>
        <w:rPr>
          <w:rStyle w:val="Emphasis"/>
          <w:b/>
          <w:i w:val="0"/>
          <w:color w:val="005D9F"/>
          <w:sz w:val="20"/>
          <w:bdr w:val="none" w:sz="0" w:space="0" w:color="auto" w:frame="1"/>
          <w:shd w:val="clear" w:color="auto" w:fill="FFFFFF"/>
        </w:rPr>
        <w:br/>
      </w:r>
      <w:r>
        <w:rPr>
          <w:rStyle w:val="Emphasis"/>
          <w:b/>
          <w:i w:val="0"/>
          <w:sz w:val="20"/>
          <w:bdr w:val="none" w:sz="0" w:space="0" w:color="auto" w:frame="1"/>
          <w:shd w:val="clear" w:color="auto" w:fill="FFFFFF"/>
        </w:rPr>
        <w:t>Αναλογία Επενδύσεων με Περιβαλλοντικά/Κοινωνικά Χαρακτηριστικά</w:t>
      </w:r>
      <w:r>
        <w:rPr>
          <w:rStyle w:val="Emphasis"/>
          <w:i w:val="0"/>
          <w:sz w:val="20"/>
        </w:rPr>
        <w:t xml:space="preserve">- Ποσοστό τουλάχιστον 70% των περιουσιακών στοιχείων του Αμοιβαίου Κεφαλαίου πρέπει πάντα να επενδύεται σε χρηματοοικονομικά μέσα που κατηγοριοποιούνται από τον Διαχειριστή Επενδύσεων ως Υπεύθυνα ή Βιώσιμα. </w:t>
      </w:r>
      <w:r>
        <w:rPr>
          <w:rStyle w:val="Emphasis"/>
          <w:i w:val="0"/>
          <w:sz w:val="20"/>
        </w:rPr>
        <w:br/>
      </w:r>
      <w:r>
        <w:rPr>
          <w:rStyle w:val="Strong"/>
          <w:sz w:val="20"/>
          <w:bdr w:val="none" w:sz="0" w:space="0" w:color="auto" w:frame="1"/>
          <w:shd w:val="clear" w:color="auto" w:fill="FFFFFF"/>
        </w:rPr>
        <w:t>Δεσμευτικά Στοιχεία της Επενδυτικής Στρατηγικής</w:t>
      </w:r>
      <w:r>
        <w:rPr>
          <w:rStyle w:val="Strong"/>
          <w:i/>
          <w:color w:val="005D9F"/>
          <w:sz w:val="20"/>
          <w:bdr w:val="none" w:sz="0" w:space="0" w:color="auto" w:frame="1"/>
          <w:shd w:val="clear" w:color="auto" w:fill="FFFFFF"/>
        </w:rPr>
        <w:t xml:space="preserve"> </w:t>
      </w:r>
      <w:r>
        <w:rPr>
          <w:sz w:val="20"/>
        </w:rPr>
        <w:t xml:space="preserve">- Το Αμοιβαίο Κεφάλαιο προάγει περιβαλλοντικά και κοινωνικά χαρακτηριστικά επενδύοντας </w:t>
      </w:r>
      <w:r>
        <w:rPr>
          <w:rStyle w:val="Emphasis"/>
          <w:i w:val="0"/>
          <w:sz w:val="20"/>
          <w:bdr w:val="none" w:sz="0" w:space="0" w:color="auto" w:frame="1"/>
          <w:shd w:val="clear" w:color="auto" w:fill="FFFFFF"/>
        </w:rPr>
        <w:t xml:space="preserve">τουλάχιστον </w:t>
      </w:r>
      <w:r>
        <w:rPr>
          <w:rStyle w:val="Emphasis"/>
          <w:i w:val="0"/>
          <w:sz w:val="20"/>
          <w:u w:val="single"/>
          <w:bdr w:val="none" w:sz="0" w:space="0" w:color="auto" w:frame="1"/>
          <w:shd w:val="clear" w:color="auto" w:fill="FFFFFF"/>
        </w:rPr>
        <w:t>70% των περιουσιακών στοιχείων του Κεφαλαίου σε χρηματοοικονομικά μέσα που κατηγοριοποιούνται από τον Διαχειριστή Επενδύσεων ως Υπεύθυνα ή Βιώσιμα.</w:t>
      </w:r>
      <w:r>
        <w:rPr>
          <w:rStyle w:val="Emphasis"/>
          <w:i w:val="0"/>
          <w:sz w:val="20"/>
          <w:bdr w:val="none" w:sz="0" w:space="0" w:color="auto" w:frame="1"/>
          <w:shd w:val="clear" w:color="auto" w:fill="FFFFFF"/>
        </w:rPr>
        <w:t xml:space="preserve"> Το υπόλοιπο 30%επενδύεται σε χρηματοοικονομικά μέσα που κατηγοριοποιούνται ως Παραδοσιακά ή</w:t>
      </w:r>
      <w:r>
        <w:rPr>
          <w:rStyle w:val="Emphasis"/>
          <w:i w:val="0"/>
          <w:sz w:val="20"/>
        </w:rPr>
        <w:t xml:space="preserve"> </w:t>
      </w:r>
      <w:r>
        <w:rPr>
          <w:rStyle w:val="Emphasis"/>
          <w:i w:val="0"/>
          <w:sz w:val="20"/>
          <w:bdr w:val="none" w:sz="0" w:space="0" w:color="auto" w:frame="1"/>
          <w:shd w:val="clear" w:color="auto" w:fill="FFFFFF"/>
        </w:rPr>
        <w:t xml:space="preserve">σε </w:t>
      </w:r>
      <w:r>
        <w:rPr>
          <w:rStyle w:val="Emphasis"/>
          <w:i w:val="0"/>
          <w:sz w:val="20"/>
          <w:bdr w:val="none" w:sz="0" w:space="0" w:color="auto" w:frame="1"/>
          <w:shd w:val="clear" w:color="auto" w:fill="FFFFFF"/>
        </w:rPr>
        <w:lastRenderedPageBreak/>
        <w:t>χρηματοοικονομικά μέσα, τα οποία ο Διαχειριστής Επενδύσεων δεν έχει ταξινομήσει σε κατηγορία ESG.</w:t>
      </w:r>
      <w:r>
        <w:rPr>
          <w:rStyle w:val="Emphasis"/>
          <w:i w:val="0"/>
          <w:sz w:val="20"/>
        </w:rPr>
        <w:t xml:space="preserve"> </w:t>
      </w:r>
      <w:r>
        <w:rPr>
          <w:rStyle w:val="Emphasis"/>
          <w:i w:val="0"/>
          <w:sz w:val="20"/>
          <w:bdr w:val="none" w:sz="0" w:space="0" w:color="auto" w:frame="1"/>
          <w:shd w:val="clear" w:color="auto" w:fill="FFFFFF"/>
        </w:rPr>
        <w:t>Σε οποιοδήποτε χρηματοοικονομικό μέσο έχει εγκριθεί από την Επιτροπή Εξαιρέσεων.</w:t>
      </w:r>
    </w:p>
    <w:p w14:paraId="09D1B46C" w14:textId="4D0FF90F" w:rsidR="00B74F98" w:rsidRPr="00536930" w:rsidRDefault="00921250" w:rsidP="00E727AF">
      <w:pPr>
        <w:spacing w:line="204" w:lineRule="auto"/>
        <w:rPr>
          <w:rFonts w:cstheme="minorHAnsi"/>
          <w:sz w:val="20"/>
          <w:szCs w:val="20"/>
        </w:rPr>
      </w:pPr>
      <w:r>
        <w:rPr>
          <w:rStyle w:val="Emphasis"/>
          <w:i w:val="0"/>
          <w:sz w:val="20"/>
        </w:rPr>
        <w:br/>
      </w:r>
      <w:r>
        <w:rPr>
          <w:rStyle w:val="Emphasis"/>
          <w:b/>
          <w:i w:val="0"/>
          <w:sz w:val="20"/>
          <w:bdr w:val="none" w:sz="0" w:space="0" w:color="auto" w:frame="1"/>
          <w:shd w:val="clear" w:color="auto" w:fill="FFFFFF"/>
        </w:rPr>
        <w:t>Παρακολούθηση των Περιβαλλοντικών/Κοινωνικών Χαρακτηριστικών</w:t>
      </w:r>
      <w:r>
        <w:rPr>
          <w:color w:val="000000"/>
          <w:kern w:val="0"/>
        </w:rPr>
        <w:t>- </w:t>
      </w:r>
      <w:r>
        <w:rPr>
          <w:color w:val="000000"/>
          <w:kern w:val="0"/>
          <w:sz w:val="20"/>
        </w:rPr>
        <w:t xml:space="preserve">Ο Διαχειριστής Επενδύσεων έχει συμπεριλάβει την αξιολόγηση των Κινδύνων Αειφορίας στην διαδικασία λήψης επενδυτικών αποφάσεων για το Αμοιβαίο Κεφάλαιο, τόσο στη φάση του αρχικού διαγνωστικού ελέγχου της επενδυτικής διαδικασίας και ως μέρος της διαρκούς παρακολούθησης των επενδύσεων του Αμοιβαίου Κεφαλαίου. Η ενσωμάτωση των αξιολογήσεων Κινδύνου Αειφορίας σε πραγματικές επενδυτικές αποφάσεις έχει σκοπό να διασφαλίσει ότι οι Κίνδυνοι Αειφορίας λαμβάνονται υπόψη όπως όλοι οι υπόλοιποι κίνδυνοι που ενσωματώνονται στην διαδικασία λήψης επενδυτικών αποφάσεων. </w:t>
      </w:r>
    </w:p>
    <w:p w14:paraId="138E30D7" w14:textId="78D2981A" w:rsidR="00B74F98" w:rsidRPr="00536930" w:rsidRDefault="001F4DA3" w:rsidP="00E727AF">
      <w:pPr>
        <w:spacing w:line="204" w:lineRule="auto"/>
        <w:rPr>
          <w:rFonts w:cstheme="minorHAnsi"/>
          <w:kern w:val="0"/>
          <w:sz w:val="20"/>
          <w:szCs w:val="20"/>
        </w:rPr>
      </w:pPr>
      <w:r>
        <w:rPr>
          <w:sz w:val="20"/>
          <w:bdr w:val="none" w:sz="0" w:space="0" w:color="auto" w:frame="1"/>
          <w:shd w:val="clear" w:color="auto" w:fill="FFFFFF"/>
        </w:rPr>
        <w:br/>
      </w:r>
      <w:r>
        <w:rPr>
          <w:rStyle w:val="Emphasis"/>
          <w:b/>
          <w:i w:val="0"/>
          <w:sz w:val="20"/>
          <w:bdr w:val="none" w:sz="0" w:space="0" w:color="auto" w:frame="1"/>
          <w:shd w:val="clear" w:color="auto" w:fill="FFFFFF"/>
        </w:rPr>
        <w:t>Περιορισμοί σε δεδομένα και μεθοδολογίες</w:t>
      </w:r>
      <w:r>
        <w:rPr>
          <w:color w:val="000000"/>
          <w:kern w:val="0"/>
          <w:sz w:val="20"/>
        </w:rPr>
        <w:t xml:space="preserve">- Η αξιολόγηση των Κινδύνων Αειφορίας είναι περίπλοκη και ενδέχεται να βασίζεται σε δεδομένα ESG που παρέχονται από εξωτερικούς παρόχους και προκύπτουν με βάση ιδιοκτησιακών μεθοδολογιών των παρόχων. </w:t>
      </w:r>
      <w:r>
        <w:rPr>
          <w:kern w:val="0"/>
          <w:sz w:val="20"/>
        </w:rPr>
        <w:t xml:space="preserve">Τα δεδομένα </w:t>
      </w:r>
      <w:r>
        <w:rPr>
          <w:color w:val="000000"/>
          <w:kern w:val="0"/>
          <w:sz w:val="20"/>
        </w:rPr>
        <w:t xml:space="preserve">ESG συμπεριλαμβανομένων των αξιολογήσεων </w:t>
      </w:r>
      <w:r>
        <w:rPr>
          <w:kern w:val="0"/>
          <w:sz w:val="20"/>
        </w:rPr>
        <w:t xml:space="preserve">ενδέχεται να μην είναι ακριβή, ολοκληρωμένα, ενημερωμένα ή/και διαρκώς διαθέσιμα και, για ορισμένους εκδότες, ενδέχεται να είναι δύσκολο να τα αποκτήσουν, αναλόγως του επιπέδου διαφάνειας του εκδότη και των δημόσια διαθέσιμων πληροφοριών. </w:t>
      </w:r>
    </w:p>
    <w:p w14:paraId="172258C8" w14:textId="42220D9D" w:rsidR="00536930" w:rsidRDefault="006A0066" w:rsidP="00E727AF">
      <w:pPr>
        <w:spacing w:line="204" w:lineRule="auto"/>
        <w:rPr>
          <w:rFonts w:cstheme="minorHAnsi"/>
          <w:sz w:val="20"/>
          <w:szCs w:val="20"/>
        </w:rPr>
      </w:pPr>
      <w:r>
        <w:rPr>
          <w:rStyle w:val="Emphasis"/>
          <w:b/>
          <w:i w:val="0"/>
          <w:sz w:val="20"/>
          <w:bdr w:val="none" w:sz="0" w:space="0" w:color="auto" w:frame="1"/>
          <w:shd w:val="clear" w:color="auto" w:fill="FFFFFF"/>
        </w:rPr>
        <w:t>Διαδικασία Διαγνωστικού Ελέγχου και δέσμευση</w:t>
      </w:r>
      <w:r>
        <w:t xml:space="preserve">- </w:t>
      </w:r>
      <w:r>
        <w:rPr>
          <w:sz w:val="20"/>
        </w:rPr>
        <w:t xml:space="preserve">Κάθε επένδυση που πρόκειται να διερευνηθεί για σκοπούς επένδυσης, υποβάλλεται πρώτα σε διαγνωστικό έλεγχο από τους ερευνητικούς αναλυτές του Διαχειριστή Επενδύσεων, από τον οποίο προκύπτει ένας κατάλογος εγκεκριμένων προς αγορά κεφαλαίων που καλύπτουν όλες τις κατηγορίες περιουσιακών στοιχείων, περιοχές και συγκεκριμένα θέματα. Οι εν λόγω εγκεκριμένοι κατάλογοι θα χρησιμοποιηθούν από τον Διαχειριστή Επενδύσεων, ο οποίος στη συνέχεια θα επιλέξει μεμονωμένες επενδύσεις προς επένδυση από το Αμοιβαίο Κεφάλαιο, κατά τη διακριτική του ευχέρεια, ακολουθώντας την ίδια διαδικασία και μεθοδολογία που εφαρμόζει για όλες τις επιλογές επενδύσεων και τίτλων προκειμένου να διασφαλίσει έκθεση στις διάφορες κατηγορίες περιουσιακών στοιχείων που αντιπροσωπεύονται στην στρατηγική κατανομή των περιουσιακών στοιχείων του Αμοιβαίου Κεφαλαίου. </w:t>
      </w:r>
    </w:p>
    <w:p w14:paraId="7C14FD81" w14:textId="2C4EDE58" w:rsidR="00536930" w:rsidRDefault="00141700" w:rsidP="00E727AF">
      <w:pPr>
        <w:spacing w:line="204" w:lineRule="auto"/>
        <w:rPr>
          <w:rStyle w:val="Emphasis"/>
          <w:rFonts w:cstheme="minorHAnsi"/>
          <w:i w:val="0"/>
          <w:iCs w:val="0"/>
          <w:sz w:val="20"/>
          <w:szCs w:val="20"/>
          <w:bdr w:val="none" w:sz="0" w:space="0" w:color="auto" w:frame="1"/>
          <w:shd w:val="clear" w:color="auto" w:fill="FFFFFF"/>
        </w:rPr>
      </w:pPr>
      <w:r>
        <w:rPr>
          <w:sz w:val="20"/>
        </w:rPr>
        <w:br/>
      </w:r>
      <w:r>
        <w:rPr>
          <w:rStyle w:val="Emphasis"/>
          <w:b/>
          <w:i w:val="0"/>
          <w:sz w:val="20"/>
          <w:bdr w:val="none" w:sz="0" w:space="0" w:color="auto" w:frame="1"/>
          <w:shd w:val="clear" w:color="auto" w:fill="FFFFFF"/>
        </w:rPr>
        <w:t>Επίδραση των Κινδύνων Αειφορίας επί των αποδόσεων του Αμοιβαίου Κεφαλαίου</w:t>
      </w:r>
      <w:r>
        <w:rPr>
          <w:rStyle w:val="Emphasis"/>
          <w:color w:val="666666"/>
          <w:sz w:val="20"/>
          <w:bdr w:val="none" w:sz="0" w:space="0" w:color="auto" w:frame="1"/>
          <w:shd w:val="clear" w:color="auto" w:fill="FFFFFF"/>
        </w:rPr>
        <w:t xml:space="preserve">- </w:t>
      </w:r>
      <w:r>
        <w:rPr>
          <w:rStyle w:val="Emphasis"/>
          <w:i w:val="0"/>
          <w:sz w:val="20"/>
          <w:bdr w:val="none" w:sz="0" w:space="0" w:color="auto" w:frame="1"/>
          <w:shd w:val="clear" w:color="auto" w:fill="FFFFFF"/>
        </w:rPr>
        <w:t>οι παράγοντες Κινδύνου Αειφορίας αποτελούν, εν γένει, μεσο- έως μακρο-πρόθεσμοι επενδυτικοί κίνδυνοι που μπορεί επίσης να υλοποιηθούν βραχυπρόθεσμα. Ενδέχεται να υλοποιηθούν σε οποιαδήποτε από τις τρεις διαστάσεις: περιβαλλοντικοί, κοινωνικοί κίνδυνοι ή/και κίνδυνοι διακυβέρνησης. Για παράδειγμα, οι Κίνδυνοι Αειφορίας ενδέχεται να υλοποιηθούν υπό τη μορφή ακραίων κινδύνων απώλειας που αφορούν συγκεκριμένο εκδότη. Η συχνότητα και πιθανότητα τέτοιων γεγονότων Κινδύνων Αειφορίας συγκεκριμένων ανά εκδότη είναι συνήθως χαμηλή, ωστόσο μπορεί να έχουν μεγάλη οικονομική επίδραση και να οδηγήσουν σε σημαντικές οικονομικές απώλειες για το Αμοιβαίο Κεφάλαιο. Ο Διαχειριστής Επενδύσεων αναγνωρίζει ότι η έκθεση του Αμοιβαίου Κεφαλαίου σε Κινδύνους Αειφορίας εξελίσσεται με την πάροδο του χρόνου και θα τηρεί υπό παρακολούθηση την έκθεση του Αμοιβαίου Κεφαλαίου στους εν λόγω κινδύνους.</w:t>
      </w:r>
    </w:p>
    <w:p w14:paraId="6E264126" w14:textId="6D8A6F4F" w:rsidR="00536930" w:rsidRDefault="001F4DA3" w:rsidP="00E727AF">
      <w:pPr>
        <w:spacing w:line="204" w:lineRule="auto"/>
        <w:rPr>
          <w:rStyle w:val="Emphasis"/>
          <w:rFonts w:cstheme="minorHAnsi"/>
          <w:i w:val="0"/>
          <w:iCs w:val="0"/>
          <w:sz w:val="20"/>
          <w:szCs w:val="20"/>
          <w:bdr w:val="none" w:sz="0" w:space="0" w:color="auto" w:frame="1"/>
          <w:shd w:val="clear" w:color="auto" w:fill="FFFFFF"/>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Κύριες Δυσμενείς Επιπτώσεις -</w:t>
      </w:r>
      <w:r>
        <w:rPr>
          <w:rStyle w:val="Emphasis"/>
          <w:i w:val="0"/>
          <w:sz w:val="20"/>
          <w:bdr w:val="none" w:sz="0" w:space="0" w:color="auto" w:frame="1"/>
          <w:shd w:val="clear" w:color="auto" w:fill="FFFFFF"/>
        </w:rPr>
        <w:t xml:space="preserve"> Ο Διαχειριστής Επενδύσεων και Διευθυντής δεν θα λαμβάνουν επί του παρόντος υπόψη τις ενδεχόμενες δυσμενείς επιπτώσεις επενδυτικών αποφάσεων σε σχέση με Παράγοντες Αειφορίας για αυτό το Αμοιβαίο Κεφάλαιο. Δεδομένου ότι το Αμοιβαίο Κεφάλαιο δεν προάγει περιβαλλοντικά ή κοινωνικά χαρακτηριστικά ούτε έχει ως στόχο του Αειφόρα Επένδυση, έχει αποφασιστεί ότι ο Διαχειριστής Επενδύσεων και ο Διευθυντής δεν θα προβούν σε επιμέτρηση τέτοιων δυσμενών επιπτώσεων σε Παράγοντες Αειφορίας</w:t>
      </w:r>
    </w:p>
    <w:p w14:paraId="12554B61" w14:textId="72DD08A1" w:rsidR="00FE1E2C" w:rsidRPr="00536930" w:rsidRDefault="001F4DA3" w:rsidP="00E727AF">
      <w:pPr>
        <w:spacing w:line="204" w:lineRule="auto"/>
        <w:rPr>
          <w:rFonts w:cstheme="minorHAnsi"/>
          <w:color w:val="000000" w:themeColor="text1"/>
          <w:kern w:val="0"/>
          <w:sz w:val="20"/>
          <w:szCs w:val="20"/>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Δείκτης Αναφοράς</w:t>
      </w:r>
      <w:r>
        <w:rPr>
          <w:rStyle w:val="Emphasis"/>
          <w:i w:val="0"/>
          <w:sz w:val="20"/>
          <w:bdr w:val="none" w:sz="0" w:space="0" w:color="auto" w:frame="1"/>
          <w:shd w:val="clear" w:color="auto" w:fill="FFFFFF"/>
        </w:rPr>
        <w:t xml:space="preserve">- </w:t>
      </w:r>
      <w:r>
        <w:rPr>
          <w:color w:val="000000" w:themeColor="text1"/>
          <w:kern w:val="0"/>
          <w:sz w:val="20"/>
        </w:rPr>
        <w:t xml:space="preserve">Το Αμοιβαίο Κεφάλαιο υπόκειται σε ενεργή διαχείριση από τον Διαχειριστή Επενδύσεων και το Αμοιβαίο Κεφάλαιο δεν περιορίζεται από κανέναν δείκτη αναφοράς. Το Αμοιβαίο Κεφάλαιο χρησιμοποιεί ως δείκτη αναφοράς τον </w:t>
      </w:r>
      <w:r>
        <w:rPr>
          <w:i/>
          <w:color w:val="000000" w:themeColor="text1"/>
          <w:kern w:val="0"/>
          <w:sz w:val="20"/>
        </w:rPr>
        <w:t>MSCI Switzerland Net Total Return Local Index</w:t>
      </w:r>
      <w:r>
        <w:rPr>
          <w:color w:val="000000" w:themeColor="text1"/>
          <w:kern w:val="0"/>
          <w:sz w:val="20"/>
        </w:rPr>
        <w:t>, μόνο για σκοπούς σύγκρισης αποδόσεων και ο Διαχειριστής Επενδύσεων έχει ευρεία ευχέρεια να αποκλίνει από τις συνιστώσες, τις σταθμίσεις και τα χαρακτηριστικά κινδύνου του Δείκτη Αναφοράς, εντός του πλαισίου του στόχου του Αμοιβαίου Κεφαλαίου και της επενδυτικής πολιτικής του. Ο βαθμός στον οποίο το Αμοιβαίο Κεφάλαιο ενδέχεται να προσομοιάζει στη σύνθεση και τα χαρακτηριστικά κινδύνου του Δείκτη Αναφοράς θα μεταβάλλεται με την πάροδο του χρόνου και η απόδοση του Αμοιβαίου Κεφαλαίου ενδέχεται να διαφέρει ουσιωδώς από ή να ευθυγραμμίζεται στενά με εκείνη του Δείκτη Αναφοράς.</w:t>
      </w:r>
    </w:p>
    <w:p w14:paraId="5FE43FB7" w14:textId="77777777" w:rsidR="00B74F98" w:rsidRPr="00536930" w:rsidRDefault="00B74F98" w:rsidP="00E727AF">
      <w:pPr>
        <w:spacing w:line="204" w:lineRule="auto"/>
        <w:rPr>
          <w:rFonts w:cstheme="minorHAnsi"/>
          <w:color w:val="000000" w:themeColor="text1"/>
          <w:kern w:val="0"/>
          <w:sz w:val="20"/>
          <w:szCs w:val="20"/>
        </w:rPr>
      </w:pPr>
    </w:p>
    <w:p w14:paraId="407B049A" w14:textId="4880A280" w:rsidR="00B74F98" w:rsidRPr="00536930" w:rsidRDefault="00B74F98" w:rsidP="00E727AF">
      <w:pPr>
        <w:spacing w:line="204" w:lineRule="auto"/>
        <w:rPr>
          <w:rFonts w:cstheme="minorHAnsi"/>
          <w:i/>
          <w:iCs/>
          <w:sz w:val="20"/>
          <w:szCs w:val="20"/>
          <w:bdr w:val="none" w:sz="0" w:space="0" w:color="auto" w:frame="1"/>
          <w:shd w:val="clear" w:color="auto" w:fill="FFFFFF"/>
        </w:rPr>
      </w:pPr>
      <w:r>
        <w:rPr>
          <w:i/>
          <w:sz w:val="20"/>
        </w:rPr>
        <w:t>Περαιτέρω λεπτομέρειες σχετικά με τη στρατηγική επενδύσεων που εφαρμόζει ο Διαχειριστής Επενδύσεων για την επίτευξη του στόχου αειφόρου επένδυσης του Αμοιβαίου Κεφαλαίου είναι διαθέσιμες στη διεύθυνση – https://www.threerockcapital.com/sfdr-disclosure/</w:t>
      </w:r>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B2A18"/>
    <w:rsid w:val="000E382F"/>
    <w:rsid w:val="00141700"/>
    <w:rsid w:val="00170284"/>
    <w:rsid w:val="001B01ED"/>
    <w:rsid w:val="001D4A9D"/>
    <w:rsid w:val="001F4DA3"/>
    <w:rsid w:val="00203B48"/>
    <w:rsid w:val="00203EE4"/>
    <w:rsid w:val="0026415E"/>
    <w:rsid w:val="002C4B8C"/>
    <w:rsid w:val="00357BAA"/>
    <w:rsid w:val="003A2837"/>
    <w:rsid w:val="003B0D15"/>
    <w:rsid w:val="004223BB"/>
    <w:rsid w:val="00536930"/>
    <w:rsid w:val="00574BA2"/>
    <w:rsid w:val="005855A6"/>
    <w:rsid w:val="0059188E"/>
    <w:rsid w:val="005F3617"/>
    <w:rsid w:val="006A0066"/>
    <w:rsid w:val="006F7F45"/>
    <w:rsid w:val="007B4495"/>
    <w:rsid w:val="00921250"/>
    <w:rsid w:val="009510B6"/>
    <w:rsid w:val="00B23DE8"/>
    <w:rsid w:val="00B547DF"/>
    <w:rsid w:val="00B67838"/>
    <w:rsid w:val="00B74F98"/>
    <w:rsid w:val="00B97422"/>
    <w:rsid w:val="00BC1AB3"/>
    <w:rsid w:val="00D54532"/>
    <w:rsid w:val="00DB45D8"/>
    <w:rsid w:val="00E727AF"/>
    <w:rsid w:val="00F37000"/>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DelPinoCostan, Juan</cp:lastModifiedBy>
  <cp:revision>4</cp:revision>
  <dcterms:created xsi:type="dcterms:W3CDTF">2024-05-29T11:22:00Z</dcterms:created>
  <dcterms:modified xsi:type="dcterms:W3CDTF">2024-06-05T15:50:00Z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