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4B08C" w14:textId="185EF578" w:rsidR="00BC1AB3" w:rsidRDefault="00536930" w:rsidP="006D50C1">
      <w:pPr>
        <w:spacing w:line="247" w:lineRule="auto"/>
        <w:rPr>
          <w:b/>
          <w:bCs/>
        </w:rPr>
      </w:pPr>
      <w:r>
        <w:rPr>
          <w:noProof/>
        </w:rPr>
        <w:drawing>
          <wp:inline distT="0" distB="0" distL="0" distR="0" wp14:anchorId="0DFBCAE6" wp14:editId="5BEF169E">
            <wp:extent cx="1895185" cy="1003935"/>
            <wp:effectExtent l="0" t="0" r="0" b="0"/>
            <wp:docPr id="3" name="Picture 3" descr="Y:\Branding and Web Design\Three Rock Capital Mai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randing and Web Design\Three Rock Capital Main Logo.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05096" cy="1009185"/>
                    </a:xfrm>
                    <a:prstGeom prst="rect">
                      <a:avLst/>
                    </a:prstGeom>
                    <a:noFill/>
                    <a:ln>
                      <a:noFill/>
                    </a:ln>
                  </pic:spPr>
                </pic:pic>
              </a:graphicData>
            </a:graphic>
          </wp:inline>
        </w:drawing>
      </w:r>
    </w:p>
    <w:p w14:paraId="51A636BC" w14:textId="77777777" w:rsidR="005855A6" w:rsidRDefault="005855A6" w:rsidP="006D50C1">
      <w:pPr>
        <w:spacing w:line="247" w:lineRule="auto"/>
        <w:rPr>
          <w:b/>
          <w:bCs/>
        </w:rPr>
      </w:pPr>
    </w:p>
    <w:p w14:paraId="0367A7E7" w14:textId="4E66D032" w:rsidR="005855A6" w:rsidRDefault="00FE1E2C" w:rsidP="006D50C1">
      <w:pPr>
        <w:spacing w:line="247" w:lineRule="auto"/>
        <w:rPr>
          <w:b/>
          <w:bCs/>
        </w:rPr>
      </w:pPr>
      <w:r>
        <w:rPr>
          <w:b/>
        </w:rPr>
        <w:t xml:space="preserve">Premium Selection UCITS ICAV </w:t>
      </w:r>
    </w:p>
    <w:p w14:paraId="2DBCA78C" w14:textId="77777777" w:rsidR="005855A6" w:rsidRDefault="005855A6" w:rsidP="006D50C1">
      <w:pPr>
        <w:spacing w:line="247" w:lineRule="auto"/>
        <w:rPr>
          <w:b/>
          <w:bCs/>
        </w:rPr>
      </w:pPr>
    </w:p>
    <w:p w14:paraId="4622AC0B" w14:textId="3AA105C3" w:rsidR="00FE1E2C" w:rsidRPr="00BC1AB3" w:rsidRDefault="005855A6" w:rsidP="006D50C1">
      <w:pPr>
        <w:spacing w:line="247" w:lineRule="auto"/>
        <w:rPr>
          <w:b/>
          <w:bCs/>
        </w:rPr>
      </w:pPr>
      <w:r>
        <w:rPr>
          <w:b/>
        </w:rPr>
        <w:t>Premium Selection UCITS ICAV -rahaston Julius Baer Edelweiss Swiss Equity -alarahasto – SFDR-asetuksen mukaiset tiedot: tiivistelmä – 7.6.2024</w:t>
      </w:r>
    </w:p>
    <w:p w14:paraId="16E6156F" w14:textId="32CA1CA9" w:rsidR="00B74F98" w:rsidRPr="00536930" w:rsidRDefault="00FE1E2C" w:rsidP="006D50C1">
      <w:pPr>
        <w:pStyle w:val="NormalWeb"/>
        <w:shd w:val="clear" w:color="auto" w:fill="FFFFFF"/>
        <w:spacing w:before="0" w:beforeAutospacing="0" w:after="0" w:afterAutospacing="0" w:line="247" w:lineRule="auto"/>
        <w:textAlignment w:val="baseline"/>
        <w:rPr>
          <w:rFonts w:asciiTheme="minorHAnsi" w:hAnsiTheme="minorHAnsi" w:cstheme="minorHAnsi"/>
          <w:sz w:val="20"/>
          <w:szCs w:val="20"/>
        </w:rPr>
      </w:pPr>
      <w:r>
        <w:rPr>
          <w:rStyle w:val="Emphasis"/>
          <w:rFonts w:asciiTheme="minorHAnsi" w:hAnsiTheme="minorHAnsi"/>
          <w:b/>
          <w:i w:val="0"/>
          <w:sz w:val="20"/>
          <w:bdr w:val="none" w:sz="0" w:space="0" w:color="auto" w:frame="1"/>
        </w:rPr>
        <w:t>Kestävä sijoitustavoite</w:t>
      </w:r>
      <w:r>
        <w:t xml:space="preserve"> </w:t>
      </w:r>
      <w:r>
        <w:rPr>
          <w:rFonts w:asciiTheme="minorHAnsi" w:hAnsiTheme="minorHAnsi"/>
          <w:sz w:val="20"/>
        </w:rPr>
        <w:t>Rahasto edistää ympäristöön tai yhteiskuntaan liittyviä ominaisuuksia, mutta sen tavoitteena ei ole kestävien sijoitusten tekeminen.</w:t>
      </w:r>
    </w:p>
    <w:p w14:paraId="0EF770F2" w14:textId="77777777" w:rsidR="00B74F98" w:rsidRPr="00536930" w:rsidRDefault="00B74F98" w:rsidP="006D50C1">
      <w:pPr>
        <w:pStyle w:val="NormalWeb"/>
        <w:shd w:val="clear" w:color="auto" w:fill="FFFFFF"/>
        <w:spacing w:before="0" w:beforeAutospacing="0" w:after="0" w:afterAutospacing="0" w:line="247" w:lineRule="auto"/>
        <w:textAlignment w:val="baseline"/>
        <w:rPr>
          <w:rFonts w:asciiTheme="minorHAnsi" w:hAnsiTheme="minorHAnsi" w:cstheme="minorHAnsi"/>
          <w:sz w:val="20"/>
          <w:szCs w:val="20"/>
        </w:rPr>
      </w:pPr>
    </w:p>
    <w:p w14:paraId="60ADB336" w14:textId="0EBA3C04" w:rsidR="006A0066" w:rsidRPr="00536930" w:rsidRDefault="00FE1E2C" w:rsidP="006D50C1">
      <w:pPr>
        <w:pStyle w:val="NormalWeb"/>
        <w:shd w:val="clear" w:color="auto" w:fill="FFFFFF"/>
        <w:spacing w:before="0" w:beforeAutospacing="0" w:after="0" w:afterAutospacing="0" w:line="247" w:lineRule="auto"/>
        <w:textAlignment w:val="baseline"/>
        <w:rPr>
          <w:rFonts w:asciiTheme="minorHAnsi" w:hAnsiTheme="minorHAnsi" w:cstheme="minorHAnsi"/>
          <w:i/>
          <w:iCs/>
          <w:color w:val="666666"/>
          <w:sz w:val="20"/>
          <w:szCs w:val="20"/>
          <w:bdr w:val="none" w:sz="0" w:space="0" w:color="auto" w:frame="1"/>
        </w:rPr>
      </w:pPr>
      <w:r>
        <w:rPr>
          <w:rStyle w:val="Emphasis"/>
          <w:rFonts w:asciiTheme="minorHAnsi" w:hAnsiTheme="minorHAnsi"/>
          <w:b/>
          <w:i w:val="0"/>
          <w:sz w:val="20"/>
          <w:bdr w:val="none" w:sz="0" w:space="0" w:color="auto" w:frame="1"/>
        </w:rPr>
        <w:t>Rahaston ympäristöön tai yhteiskuntaan liittyvät ominaisuudet</w:t>
      </w:r>
      <w:r>
        <w:t xml:space="preserve"> </w:t>
      </w:r>
      <w:r>
        <w:rPr>
          <w:rFonts w:asciiTheme="minorHAnsi" w:hAnsiTheme="minorHAnsi"/>
          <w:sz w:val="20"/>
        </w:rPr>
        <w:t xml:space="preserve">Rahasto edistää seuraavia ympäristöön ja yhteiskuntaan liittyviä ominaisuuksia: *ilmastonmuutoksen torjunta ja siihen sopeutuminen, *luonnon monimuotoisuuden säilyttäminen, *hyvät työolot, *kansainvälisten säännöstöjen noudattaminen. </w:t>
      </w:r>
    </w:p>
    <w:p w14:paraId="701A8DFC" w14:textId="77777777" w:rsidR="00B74F98" w:rsidRPr="00536930" w:rsidRDefault="00FE1E2C" w:rsidP="006D50C1">
      <w:pPr>
        <w:pStyle w:val="Default"/>
        <w:spacing w:line="247" w:lineRule="auto"/>
        <w:rPr>
          <w:rFonts w:cstheme="minorHAnsi"/>
          <w:sz w:val="20"/>
          <w:szCs w:val="20"/>
        </w:rPr>
      </w:pPr>
      <w:r>
        <w:rPr>
          <w:sz w:val="20"/>
        </w:rPr>
        <w:t>Sen varmistamiseksi, että rahaston ESG-profiili pysyy vaaditulla tasolla, rahaston on sijoitettava salkunhoitajan oman</w:t>
      </w:r>
      <w:r>
        <w:rPr>
          <w:b/>
          <w:sz w:val="20"/>
        </w:rPr>
        <w:t xml:space="preserve"> kestävien sijoitusten luokitusmenetelmän (Sustainable Investment Rating Methodology)</w:t>
      </w:r>
      <w:r>
        <w:rPr>
          <w:sz w:val="20"/>
        </w:rPr>
        <w:t xml:space="preserve"> vaatimukset täyttäviin välineisiin.</w:t>
      </w:r>
    </w:p>
    <w:p w14:paraId="682E783E" w14:textId="2619686A" w:rsidR="00B74F98" w:rsidRPr="00536930" w:rsidRDefault="00DB45D8" w:rsidP="006D50C1">
      <w:pPr>
        <w:pStyle w:val="Default"/>
        <w:spacing w:line="247" w:lineRule="auto"/>
        <w:rPr>
          <w:rFonts w:cstheme="minorHAnsi"/>
          <w:sz w:val="20"/>
          <w:szCs w:val="20"/>
        </w:rPr>
      </w:pPr>
      <w:r>
        <w:rPr>
          <w:sz w:val="20"/>
        </w:rPr>
        <w:t>Rahastonhoitaja käyttää Climate Score -luokitusta, joka keskittyy kasvihuonekaasupäästöihin ja sijoituskohteina olevien yritysten altistumiseen siirtymälle kohti ilmastoneutraaliutta. Climate Score -luokituksen perustana ovat Scope 1- ja Scope 2 -hiili-intensiteettilukemat (jotka ovat pääasiallisten haitallisten vaikutusten indikaattoreita), jotka edustavat sijoituskohteena olevan yrityksen kokoon suhteutettuja hiilipäästöjä. Natural Capital Score -luokitus keskittyy luonnon monimuotoisuuteen ja saastumiseen, ja sen avulla voidaan tunnistaa yritykset, joiden toiminnalla on muita kuin ilmastoon liittyviä merkittäviä ympäristövaikutuksia. Global Norms Score -luokitus keskittyy sijoituskohteina olevien yritysten liiketoimintaan ja maailmanlaajuisesti hyväksyttyjen ihmisoikeuksia, työntekijöiden oikeuksia ja vastuullista liiketoimintaa koskevien säännöstöjen noudattamiseen näissä yrityksissä. Human Capital Score -luokitus kattaa työolot ja työntekijän osaamisen kehittämisen sekä työpaikan käytännöt.</w:t>
      </w:r>
    </w:p>
    <w:p w14:paraId="3CF4B36E" w14:textId="77777777" w:rsidR="00B74F98" w:rsidRPr="00536930" w:rsidRDefault="00B74F98" w:rsidP="006D50C1">
      <w:pPr>
        <w:pStyle w:val="Default"/>
        <w:spacing w:line="247" w:lineRule="auto"/>
        <w:rPr>
          <w:rFonts w:cstheme="minorHAnsi"/>
          <w:sz w:val="20"/>
          <w:szCs w:val="20"/>
        </w:rPr>
      </w:pPr>
    </w:p>
    <w:p w14:paraId="2391313A" w14:textId="5FDD6366" w:rsidR="00B74F98" w:rsidRPr="00536930" w:rsidRDefault="00DB45D8" w:rsidP="006D50C1">
      <w:pPr>
        <w:spacing w:line="247" w:lineRule="auto"/>
        <w:rPr>
          <w:rFonts w:cstheme="minorHAnsi"/>
          <w:sz w:val="20"/>
          <w:szCs w:val="20"/>
        </w:rPr>
      </w:pPr>
      <w:r>
        <w:rPr>
          <w:rStyle w:val="Emphasis"/>
          <w:b/>
          <w:i w:val="0"/>
          <w:sz w:val="20"/>
          <w:bdr w:val="none" w:sz="0" w:space="0" w:color="auto" w:frame="1"/>
          <w:shd w:val="clear" w:color="auto" w:fill="FFFFFF"/>
        </w:rPr>
        <w:t>Rahaston sijoitusstrategia.</w:t>
      </w:r>
      <w:r>
        <w:rPr>
          <w:rStyle w:val="Emphasis"/>
          <w:b/>
          <w:color w:val="005D9F"/>
          <w:sz w:val="20"/>
          <w:bdr w:val="none" w:sz="0" w:space="0" w:color="auto" w:frame="1"/>
          <w:shd w:val="clear" w:color="auto" w:fill="FFFFFF"/>
        </w:rPr>
        <w:t xml:space="preserve"> </w:t>
      </w:r>
      <w:r>
        <w:rPr>
          <w:sz w:val="20"/>
        </w:rPr>
        <w:t>Rahasto sijoittaa ensisijaisesti SPI-indeksiin sisältyviin Sveitsin frangin määräisiin sveitsiläisten yritysten osakkeisiin. Sijoitusuniversumin odotetaan koostuvan noin 80–100 osakkeesta. Salkku koostuu pääosin kahdesta omaisuuslajista, käteisestä ja osakkeista, ja se on koostettu lähes yksinomaan yksittäisistä osakkeista.</w:t>
      </w:r>
    </w:p>
    <w:p w14:paraId="731C0062" w14:textId="1E7A18A3" w:rsidR="00536930" w:rsidRDefault="00DB45D8" w:rsidP="006D50C1">
      <w:pPr>
        <w:spacing w:line="247" w:lineRule="auto"/>
        <w:rPr>
          <w:rStyle w:val="Emphasis"/>
          <w:rFonts w:cstheme="minorHAnsi"/>
          <w:i w:val="0"/>
          <w:iCs w:val="0"/>
          <w:sz w:val="20"/>
          <w:szCs w:val="20"/>
        </w:rPr>
      </w:pPr>
      <w:r>
        <w:rPr>
          <w:sz w:val="20"/>
        </w:rPr>
        <w:t xml:space="preserve"> </w:t>
      </w:r>
      <w:r>
        <w:rPr>
          <w:rStyle w:val="Emphasis"/>
          <w:b/>
          <w:i w:val="0"/>
          <w:sz w:val="20"/>
          <w:bdr w:val="none" w:sz="0" w:space="0" w:color="auto" w:frame="1"/>
          <w:shd w:val="clear" w:color="auto" w:fill="FFFFFF"/>
        </w:rPr>
        <w:t>Menetelmät, joita käytetään mittaamaan yhteiskuntaan tai ympäristöön liittyvien ominaisuuksien toteutumista</w:t>
      </w:r>
      <w:r>
        <w:rPr>
          <w:rStyle w:val="Emphasis"/>
          <w:b/>
          <w:color w:val="005D9F"/>
          <w:sz w:val="20"/>
          <w:bdr w:val="none" w:sz="0" w:space="0" w:color="auto" w:frame="1"/>
          <w:shd w:val="clear" w:color="auto" w:fill="FFFFFF"/>
        </w:rPr>
        <w:t xml:space="preserve"> </w:t>
      </w:r>
      <w:r>
        <w:rPr>
          <w:sz w:val="20"/>
        </w:rPr>
        <w:t xml:space="preserve">Rahasto edistää ympäristöön tai yhteiskuntaan liittyviä ominaisuuksia sijoittamalla salkunhoitajan oman kestävien sijoitusten luokitusmenetelmän (Sustainable Investment Rating Methodology, ”kestävän sijoittamisen menetelmä”) vaatimukset täyttäviin välineisiin. Kestävän sijoittamisen menetelmä koostuu kolmesta tasosta: </w:t>
      </w:r>
      <w:r>
        <w:rPr>
          <w:sz w:val="20"/>
        </w:rPr>
        <w:br/>
        <w:t>(1) Ensin kerätään käsittelemättömiä ESG-tietoja useilta ulkopuolisilta tietojen tarjoajilta sekä sisäistä temaattista tutkimustietoa kestäviin tavoitteisiin liittyvistä sijoitusteemoista. (2) Sen jälkeen käsittelemättömien ESG-tietojen ja sisäisten temaattisten tutkimustietojen pohjalta lasketaan tietyt temaattiset pisteytykset. (3) Viimeisessä vaiheessa temaattisista pisteytyksistä ja tietyistä useiden ESG-tietojen tarjoajien suoraan tarjoamista indikaattoreista (käsitellyt ESG-tiedot, kuten luokitukset) johdetaan neljä ESG-luokkaa. Neljä prosessista johdettua ESG-luokkaa ovat</w:t>
      </w:r>
      <w:r>
        <w:rPr>
          <w:i/>
          <w:sz w:val="20"/>
        </w:rPr>
        <w:t xml:space="preserve"> ”ESG-riski”, ”perinteinen”, ”vastuullinen” ja ”kestävä”.</w:t>
      </w:r>
      <w:r>
        <w:rPr>
          <w:rStyle w:val="Emphasis"/>
          <w:i w:val="0"/>
          <w:sz w:val="20"/>
          <w:bdr w:val="none" w:sz="0" w:space="0" w:color="auto" w:frame="1"/>
          <w:shd w:val="clear" w:color="auto" w:fill="FFFFFF"/>
        </w:rPr>
        <w:t xml:space="preserve">  </w:t>
      </w:r>
      <w:r>
        <w:rPr>
          <w:rStyle w:val="Emphasis"/>
          <w:i w:val="0"/>
          <w:sz w:val="20"/>
          <w:bdr w:val="none" w:sz="0" w:space="0" w:color="auto" w:frame="1"/>
          <w:shd w:val="clear" w:color="auto" w:fill="FFFFFF"/>
        </w:rPr>
        <w:br/>
      </w:r>
      <w:r>
        <w:rPr>
          <w:rStyle w:val="Emphasis"/>
          <w:b/>
          <w:i w:val="0"/>
          <w:color w:val="005D9F"/>
          <w:sz w:val="20"/>
          <w:bdr w:val="none" w:sz="0" w:space="0" w:color="auto" w:frame="1"/>
          <w:shd w:val="clear" w:color="auto" w:fill="FFFFFF"/>
        </w:rPr>
        <w:br/>
      </w:r>
      <w:r>
        <w:rPr>
          <w:rStyle w:val="Emphasis"/>
          <w:b/>
          <w:i w:val="0"/>
          <w:sz w:val="20"/>
          <w:bdr w:val="none" w:sz="0" w:space="0" w:color="auto" w:frame="1"/>
          <w:shd w:val="clear" w:color="auto" w:fill="FFFFFF"/>
        </w:rPr>
        <w:t>Sellaisten sijoitusten osuus, joilla on ympäristöön tai yhteiskuntaan liittyviä ominaisuuksia</w:t>
      </w:r>
      <w:r>
        <w:rPr>
          <w:rStyle w:val="Emphasis"/>
          <w:i w:val="0"/>
          <w:sz w:val="20"/>
        </w:rPr>
        <w:t xml:space="preserve"> Vähintään 70 % rahaston varoista tulee aina olla sijoitettuna rahoitusvälineisiin, jotka salkunhoitaja on luokitellut vastuullisiksi tai kestäviksi. </w:t>
      </w:r>
      <w:r>
        <w:rPr>
          <w:rStyle w:val="Emphasis"/>
          <w:i w:val="0"/>
          <w:sz w:val="20"/>
        </w:rPr>
        <w:br/>
      </w:r>
      <w:r>
        <w:rPr>
          <w:rStyle w:val="Strong"/>
          <w:sz w:val="20"/>
          <w:bdr w:val="none" w:sz="0" w:space="0" w:color="auto" w:frame="1"/>
          <w:shd w:val="clear" w:color="auto" w:fill="FFFFFF"/>
        </w:rPr>
        <w:lastRenderedPageBreak/>
        <w:t>Sijoitusstrategian sitovat osatekijät</w:t>
      </w:r>
      <w:r>
        <w:rPr>
          <w:sz w:val="20"/>
        </w:rPr>
        <w:t xml:space="preserve"> Rahasto edistää ympäristöön tai yhteiskuntaan liittyviä ominaisuuksia sijoittamalla </w:t>
      </w:r>
      <w:r>
        <w:rPr>
          <w:rStyle w:val="Emphasis"/>
          <w:i w:val="0"/>
          <w:sz w:val="20"/>
          <w:bdr w:val="none" w:sz="0" w:space="0" w:color="auto" w:frame="1"/>
          <w:shd w:val="clear" w:color="auto" w:fill="FFFFFF"/>
        </w:rPr>
        <w:t xml:space="preserve">vähintään </w:t>
      </w:r>
      <w:r>
        <w:rPr>
          <w:rStyle w:val="Emphasis"/>
          <w:i w:val="0"/>
          <w:sz w:val="20"/>
          <w:u w:val="single"/>
          <w:bdr w:val="none" w:sz="0" w:space="0" w:color="auto" w:frame="1"/>
          <w:shd w:val="clear" w:color="auto" w:fill="FFFFFF"/>
        </w:rPr>
        <w:t>70 % rahaston varoista rahoitusvälineisiin, jotka salkunhoitaja on luokitellut vastuullisiksi tai kestäviksi.</w:t>
      </w:r>
      <w:r>
        <w:rPr>
          <w:rStyle w:val="Emphasis"/>
          <w:i w:val="0"/>
          <w:sz w:val="20"/>
          <w:bdr w:val="none" w:sz="0" w:space="0" w:color="auto" w:frame="1"/>
          <w:shd w:val="clear" w:color="auto" w:fill="FFFFFF"/>
        </w:rPr>
        <w:t xml:space="preserve"> Jäljelle jäävä 30 % osuus sijoitetaan rahoitusvälineisiin, jotka salkunhoitaja on luokitellut perinteisiksi tai</w:t>
      </w:r>
      <w:r>
        <w:rPr>
          <w:rStyle w:val="Emphasis"/>
          <w:i w:val="0"/>
          <w:sz w:val="20"/>
        </w:rPr>
        <w:t xml:space="preserve"> </w:t>
      </w:r>
      <w:r>
        <w:rPr>
          <w:rStyle w:val="Emphasis"/>
          <w:i w:val="0"/>
          <w:sz w:val="20"/>
          <w:bdr w:val="none" w:sz="0" w:space="0" w:color="auto" w:frame="1"/>
          <w:shd w:val="clear" w:color="auto" w:fill="FFFFFF"/>
        </w:rPr>
        <w:t>rahoitusvälineisiin, joilla ei ole salkunhoitajan antamaa ESG-luokitusta.</w:t>
      </w:r>
      <w:r>
        <w:rPr>
          <w:rStyle w:val="Emphasis"/>
          <w:i w:val="0"/>
          <w:sz w:val="20"/>
        </w:rPr>
        <w:t xml:space="preserve"> </w:t>
      </w:r>
      <w:r>
        <w:rPr>
          <w:rStyle w:val="Emphasis"/>
          <w:i w:val="0"/>
          <w:sz w:val="20"/>
          <w:bdr w:val="none" w:sz="0" w:space="0" w:color="auto" w:frame="1"/>
          <w:shd w:val="clear" w:color="auto" w:fill="FFFFFF"/>
        </w:rPr>
        <w:t>mihin tahansa poikkeuskomitean hyväksymiin välineisiin.</w:t>
      </w:r>
    </w:p>
    <w:p w14:paraId="09D1B46C" w14:textId="4D0FF90F" w:rsidR="00B74F98" w:rsidRPr="00536930" w:rsidRDefault="00921250" w:rsidP="006D50C1">
      <w:pPr>
        <w:spacing w:line="247" w:lineRule="auto"/>
        <w:rPr>
          <w:rFonts w:cstheme="minorHAnsi"/>
          <w:sz w:val="20"/>
          <w:szCs w:val="20"/>
        </w:rPr>
      </w:pPr>
      <w:r>
        <w:rPr>
          <w:rStyle w:val="Emphasis"/>
          <w:i w:val="0"/>
          <w:sz w:val="20"/>
        </w:rPr>
        <w:br/>
      </w:r>
      <w:r>
        <w:rPr>
          <w:rStyle w:val="Emphasis"/>
          <w:b/>
          <w:i w:val="0"/>
          <w:sz w:val="20"/>
          <w:bdr w:val="none" w:sz="0" w:space="0" w:color="auto" w:frame="1"/>
          <w:shd w:val="clear" w:color="auto" w:fill="FFFFFF"/>
        </w:rPr>
        <w:t>Ympäristöön tai yhteiskuntaan liittyvien ominaisuuksien seuranta</w:t>
      </w:r>
      <w:r>
        <w:rPr>
          <w:color w:val="000000"/>
          <w:kern w:val="0"/>
        </w:rPr>
        <w:t xml:space="preserve"> </w:t>
      </w:r>
      <w:r w:rsidRPr="00DF06F9">
        <w:rPr>
          <w:color w:val="000000"/>
          <w:kern w:val="0"/>
          <w:sz w:val="20"/>
        </w:rPr>
        <w:t>Salkunhoitaja on sisällyttänyt kestävyysriskien arvioinnin rahaston sijoituksia koskevaan päätöksentekoprosessiin, ja nämä arvioinnit tehdään sekä sijoitusprosessin alkuvaiheessa osana asianmukaisen huolellisuuden menettelyjä että osana rahaston sijoitusten jatkuvaa seurantaa</w:t>
      </w:r>
      <w:r>
        <w:rPr>
          <w:color w:val="000000"/>
          <w:kern w:val="0"/>
          <w:sz w:val="20"/>
        </w:rPr>
        <w:t xml:space="preserve">. Ottamalla kestävyysriskien arvioinnit huomioon varsinaisissa sijoituspäätöksissä pyritään varmistamaan, että kestävyysriskit huomioidaan vastaavalla tavalla kuin kaikki muutkin riskit, jotka otetaan huomioon sijoituksia koskevassa päätöksentekoprosessissa. </w:t>
      </w:r>
    </w:p>
    <w:p w14:paraId="138E30D7" w14:textId="78D2981A" w:rsidR="00B74F98" w:rsidRPr="00536930" w:rsidRDefault="001F4DA3" w:rsidP="006D50C1">
      <w:pPr>
        <w:spacing w:line="247" w:lineRule="auto"/>
        <w:rPr>
          <w:rFonts w:cstheme="minorHAnsi"/>
          <w:kern w:val="0"/>
          <w:sz w:val="20"/>
          <w:szCs w:val="20"/>
        </w:rPr>
      </w:pPr>
      <w:r>
        <w:rPr>
          <w:sz w:val="20"/>
          <w:bdr w:val="none" w:sz="0" w:space="0" w:color="auto" w:frame="1"/>
          <w:shd w:val="clear" w:color="auto" w:fill="FFFFFF"/>
        </w:rPr>
        <w:br/>
      </w:r>
      <w:r>
        <w:rPr>
          <w:rStyle w:val="Emphasis"/>
          <w:b/>
          <w:i w:val="0"/>
          <w:sz w:val="20"/>
          <w:bdr w:val="none" w:sz="0" w:space="0" w:color="auto" w:frame="1"/>
          <w:shd w:val="clear" w:color="auto" w:fill="FFFFFF"/>
        </w:rPr>
        <w:t>Menetelmiä ja tietoja koskevat rajoitukset</w:t>
      </w:r>
      <w:r>
        <w:rPr>
          <w:color w:val="000000"/>
          <w:kern w:val="0"/>
          <w:sz w:val="20"/>
        </w:rPr>
        <w:t xml:space="preserve"> Kestävyysriskien arviointi on monimutkaista ja voi perustua ulkopuolisten tietojen tarjoajien ESG-tietoihin, jotka perustuvat tietojen tarjoajien omiin menetelmiin. ESG-tiedot</w:t>
      </w:r>
      <w:r>
        <w:rPr>
          <w:kern w:val="0"/>
          <w:sz w:val="20"/>
        </w:rPr>
        <w:t xml:space="preserve">, mukaan lukien luokitukset, eivät välttämättä ole täsmällisiä, täydellisiä, ajantasaisia tai jatkuvasti saatavilla, ja joidenkin liikkeeseenlaskijoiden osalta niitä voi olla vaikea saada liikkeeseenlaskijan avoimuudesta ja tietojen julkisesta saatavuudesta riippuen. </w:t>
      </w:r>
    </w:p>
    <w:p w14:paraId="172258C8" w14:textId="42220D9D" w:rsidR="00536930" w:rsidRDefault="006A0066" w:rsidP="006D50C1">
      <w:pPr>
        <w:spacing w:line="247" w:lineRule="auto"/>
        <w:rPr>
          <w:rFonts w:cstheme="minorHAnsi"/>
          <w:sz w:val="20"/>
          <w:szCs w:val="20"/>
        </w:rPr>
      </w:pPr>
      <w:r>
        <w:rPr>
          <w:rStyle w:val="Emphasis"/>
          <w:b/>
          <w:i w:val="0"/>
          <w:sz w:val="20"/>
          <w:bdr w:val="none" w:sz="0" w:space="0" w:color="auto" w:frame="1"/>
          <w:shd w:val="clear" w:color="auto" w:fill="FFFFFF"/>
        </w:rPr>
        <w:t>Asianmukainen huolellisuus ja vaikuttamispolitiikat</w:t>
      </w:r>
      <w:r>
        <w:t xml:space="preserve"> </w:t>
      </w:r>
      <w:r>
        <w:rPr>
          <w:sz w:val="20"/>
        </w:rPr>
        <w:t xml:space="preserve">Salkunhoitajan rahastotutkimuksen analyytikot tekevät mahdollisille sijoituskohteille ensin asianmukaisen huolellisuuden varmistavan tarkastuksen, jonka tuloksena saadaan hyväksyttyjen sijoituskohteiden ostoslista, joka kattaa kaikki omaisuusluokat, alueet ja tietyt teemat. Salkunhoitaja valitsee tältä ostoslistalta oman harkintansa perusteella yksittäiset sijoituskohteet rahastolle noudattaen samaa prosessia ja menetelmää, joita sovelletaan kaikkien sijoitusten ja arvopapereiden valintaan, jotta saavutetaan sijoitusaltistus rahaston taktisessa varojen allokoinnissa edustettuina oleville omaisuusluokille. </w:t>
      </w:r>
    </w:p>
    <w:p w14:paraId="7C14FD81" w14:textId="2C4EDE58" w:rsidR="00536930" w:rsidRDefault="00141700" w:rsidP="006D50C1">
      <w:pPr>
        <w:spacing w:line="247" w:lineRule="auto"/>
        <w:rPr>
          <w:rStyle w:val="Emphasis"/>
          <w:rFonts w:cstheme="minorHAnsi"/>
          <w:i w:val="0"/>
          <w:iCs w:val="0"/>
          <w:sz w:val="20"/>
          <w:szCs w:val="20"/>
          <w:bdr w:val="none" w:sz="0" w:space="0" w:color="auto" w:frame="1"/>
          <w:shd w:val="clear" w:color="auto" w:fill="FFFFFF"/>
        </w:rPr>
      </w:pPr>
      <w:r>
        <w:rPr>
          <w:sz w:val="20"/>
        </w:rPr>
        <w:br/>
      </w:r>
      <w:r>
        <w:rPr>
          <w:rStyle w:val="Emphasis"/>
          <w:b/>
          <w:i w:val="0"/>
          <w:sz w:val="20"/>
          <w:bdr w:val="none" w:sz="0" w:space="0" w:color="auto" w:frame="1"/>
          <w:shd w:val="clear" w:color="auto" w:fill="FFFFFF"/>
        </w:rPr>
        <w:t>Kestävyysriskien vaikutus rahaston tuottoon</w:t>
      </w:r>
      <w:r>
        <w:rPr>
          <w:rStyle w:val="Emphasis"/>
          <w:color w:val="666666"/>
          <w:sz w:val="20"/>
          <w:bdr w:val="none" w:sz="0" w:space="0" w:color="auto" w:frame="1"/>
          <w:shd w:val="clear" w:color="auto" w:fill="FFFFFF"/>
        </w:rPr>
        <w:t xml:space="preserve"> </w:t>
      </w:r>
      <w:r>
        <w:rPr>
          <w:rStyle w:val="Emphasis"/>
          <w:i w:val="0"/>
          <w:sz w:val="20"/>
          <w:bdr w:val="none" w:sz="0" w:space="0" w:color="auto" w:frame="1"/>
          <w:shd w:val="clear" w:color="auto" w:fill="FFFFFF"/>
        </w:rPr>
        <w:t>Kestävyysriskit ovat yleensä keskipitkän ja pitkän aikavälin sijoitusriskejä, jotka voivat toteutua myös lyhyellä aikavälillä. Ne voivat olla ympäristöön, yhteiskuntaan tai hallintotapaan liittyviä riskejä. Kestävyysriskit voivat toteutua esimerkiksi liikkeeseenlaskijakohtaisina äärimmäisinä tappioriskeinä. Tällaiset liikkeeseenlaskijakohtaiset kestävyysriskitapahtumat toteutuvat tyypillisesti harvoin ja ovat epätodennäköisiä, mutta niillä voi olla suuri taloudellinen vaikutus, ja ne voivat johtaa rahastolle merkittäviin taloudellisiin menetyksiin. Salkunhoitaja on tietoinen siitä, että rahaston altistuminen kestävyysriskeille kehittyy ajan myötä, ja rahaston altistumista näille riskeille on siksi seurattava jatkuvasti.</w:t>
      </w:r>
    </w:p>
    <w:p w14:paraId="6E264126" w14:textId="6D8A6F4F" w:rsidR="00536930" w:rsidRDefault="001F4DA3" w:rsidP="006D50C1">
      <w:pPr>
        <w:spacing w:line="247" w:lineRule="auto"/>
        <w:rPr>
          <w:rStyle w:val="Emphasis"/>
          <w:rFonts w:cstheme="minorHAnsi"/>
          <w:i w:val="0"/>
          <w:iCs w:val="0"/>
          <w:sz w:val="20"/>
          <w:szCs w:val="20"/>
          <w:bdr w:val="none" w:sz="0" w:space="0" w:color="auto" w:frame="1"/>
          <w:shd w:val="clear" w:color="auto" w:fill="FFFFFF"/>
        </w:rPr>
      </w:pPr>
      <w:r>
        <w:rPr>
          <w:rStyle w:val="Emphasis"/>
          <w:i w:val="0"/>
          <w:sz w:val="20"/>
          <w:bdr w:val="none" w:sz="0" w:space="0" w:color="auto" w:frame="1"/>
          <w:shd w:val="clear" w:color="auto" w:fill="FFFFFF"/>
        </w:rPr>
        <w:br/>
      </w:r>
      <w:r>
        <w:rPr>
          <w:rStyle w:val="Emphasis"/>
          <w:b/>
          <w:i w:val="0"/>
          <w:sz w:val="20"/>
          <w:bdr w:val="none" w:sz="0" w:space="0" w:color="auto" w:frame="1"/>
          <w:shd w:val="clear" w:color="auto" w:fill="FFFFFF"/>
        </w:rPr>
        <w:t>Pääasialliset haitalliset vaikutukset</w:t>
      </w:r>
      <w:r>
        <w:rPr>
          <w:rStyle w:val="Emphasis"/>
          <w:i w:val="0"/>
          <w:sz w:val="20"/>
          <w:bdr w:val="none" w:sz="0" w:space="0" w:color="auto" w:frame="1"/>
          <w:shd w:val="clear" w:color="auto" w:fill="FFFFFF"/>
        </w:rPr>
        <w:t xml:space="preserve"> Salkunhoitaja ja rahastonhoitaja eivät tällä hetkellä ota huomioon sijoituspäätösten mahdollisia haitallisia vaikutuksia kestävyystekijöihin tämän rahaston osalta. Koska rahasto ei edistä ympäristöön tai yhteiskuntaan liittyviä ominaisuuksia, eikä sen tavoitteena ole kestävien sijoitusten tekeminen, on päätetty, että salkunhoitaja ja rahastonhoitaja eivät pyri mittaamaan tällaisia haitallisia vaikutuksia kestävyystekijöihin.</w:t>
      </w:r>
    </w:p>
    <w:p w14:paraId="12554B61" w14:textId="72DD08A1" w:rsidR="00FE1E2C" w:rsidRPr="00536930" w:rsidRDefault="001F4DA3" w:rsidP="006D50C1">
      <w:pPr>
        <w:spacing w:line="247" w:lineRule="auto"/>
        <w:rPr>
          <w:rFonts w:cstheme="minorHAnsi"/>
          <w:color w:val="000000" w:themeColor="text1"/>
          <w:kern w:val="0"/>
          <w:sz w:val="20"/>
          <w:szCs w:val="20"/>
        </w:rPr>
      </w:pPr>
      <w:r>
        <w:rPr>
          <w:rStyle w:val="Emphasis"/>
          <w:i w:val="0"/>
          <w:sz w:val="20"/>
          <w:bdr w:val="none" w:sz="0" w:space="0" w:color="auto" w:frame="1"/>
          <w:shd w:val="clear" w:color="auto" w:fill="FFFFFF"/>
        </w:rPr>
        <w:br/>
      </w:r>
      <w:r>
        <w:rPr>
          <w:rStyle w:val="Emphasis"/>
          <w:b/>
          <w:i w:val="0"/>
          <w:sz w:val="20"/>
          <w:bdr w:val="none" w:sz="0" w:space="0" w:color="auto" w:frame="1"/>
          <w:shd w:val="clear" w:color="auto" w:fill="FFFFFF"/>
        </w:rPr>
        <w:t>Vertailuarvo</w:t>
      </w:r>
      <w:r>
        <w:rPr>
          <w:rStyle w:val="Emphasis"/>
          <w:i w:val="0"/>
          <w:sz w:val="20"/>
          <w:bdr w:val="none" w:sz="0" w:space="0" w:color="auto" w:frame="1"/>
          <w:shd w:val="clear" w:color="auto" w:fill="FFFFFF"/>
        </w:rPr>
        <w:t xml:space="preserve"> </w:t>
      </w:r>
      <w:r>
        <w:rPr>
          <w:color w:val="000000" w:themeColor="text1"/>
          <w:kern w:val="0"/>
          <w:sz w:val="20"/>
        </w:rPr>
        <w:t xml:space="preserve">Salkunhoitaja hoitaa rahastoa aktiivisesti, eikä mikään vertailuarvo rajoita rahaston sijoituspäätöksiä. Rahasto käyttää vertailuarvoa </w:t>
      </w:r>
      <w:r>
        <w:rPr>
          <w:i/>
          <w:color w:val="000000" w:themeColor="text1"/>
          <w:kern w:val="0"/>
          <w:sz w:val="20"/>
        </w:rPr>
        <w:t>MSCI Switzerland Net Total Return Local Index</w:t>
      </w:r>
      <w:r>
        <w:rPr>
          <w:color w:val="000000" w:themeColor="text1"/>
          <w:kern w:val="0"/>
          <w:sz w:val="20"/>
        </w:rPr>
        <w:t xml:space="preserve"> ainoastaan tuottovertailuun, ja salkunhoitajalla on laaja harkintavalta poiketa vertailuarvon osatekijöistä, painotuksista ja riskiominaisuuksista rahaston tavoitteen ja sijoituspolitiikan puitteissa. Se, missä määrin rahasto vastaa koostumukseltaan ja riskiominaisuuksiltaan vertailuarvoa, vaihtelee ajan mittaan, ja rahaston kehitys voi poiketa merkittävästi vertailuarvon kehityksestä tai seurata sitä tiiviimmin.</w:t>
      </w:r>
    </w:p>
    <w:p w14:paraId="5FE43FB7" w14:textId="77777777" w:rsidR="00B74F98" w:rsidRPr="00536930" w:rsidRDefault="00B74F98" w:rsidP="006D50C1">
      <w:pPr>
        <w:spacing w:line="247" w:lineRule="auto"/>
        <w:rPr>
          <w:rFonts w:cstheme="minorHAnsi"/>
          <w:color w:val="000000" w:themeColor="text1"/>
          <w:kern w:val="0"/>
          <w:sz w:val="20"/>
          <w:szCs w:val="20"/>
        </w:rPr>
      </w:pPr>
    </w:p>
    <w:p w14:paraId="407B049A" w14:textId="4880A280" w:rsidR="00B74F98" w:rsidRPr="00536930" w:rsidRDefault="00B74F98" w:rsidP="006D50C1">
      <w:pPr>
        <w:spacing w:line="247" w:lineRule="auto"/>
        <w:rPr>
          <w:rFonts w:cstheme="minorHAnsi"/>
          <w:i/>
          <w:iCs/>
          <w:sz w:val="20"/>
          <w:szCs w:val="20"/>
          <w:bdr w:val="none" w:sz="0" w:space="0" w:color="auto" w:frame="1"/>
          <w:shd w:val="clear" w:color="auto" w:fill="FFFFFF"/>
        </w:rPr>
      </w:pPr>
      <w:r>
        <w:rPr>
          <w:i/>
          <w:sz w:val="20"/>
        </w:rPr>
        <w:t>Lisätietoja sijoitusstrategiasta, jota salkunhoitaja käyttää rahaston kestävän sijoitustavoitteen saavuttamiseksi, on osoitteessa https://www.threerockcapital.com/sfdr-disclosure/.</w:t>
      </w:r>
    </w:p>
    <w:sectPr w:rsidR="00B74F98" w:rsidRPr="005369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45EC7" w14:textId="77777777" w:rsidR="00FE1E2C" w:rsidRDefault="00FE1E2C" w:rsidP="00FE1E2C">
      <w:pPr>
        <w:spacing w:after="0" w:line="240" w:lineRule="auto"/>
      </w:pPr>
      <w:r>
        <w:separator/>
      </w:r>
    </w:p>
  </w:endnote>
  <w:endnote w:type="continuationSeparator" w:id="0">
    <w:p w14:paraId="3AB84A9D" w14:textId="77777777" w:rsidR="00FE1E2C" w:rsidRDefault="00FE1E2C" w:rsidP="00FE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CE163" w14:textId="77777777" w:rsidR="00FE1E2C" w:rsidRDefault="00FE1E2C" w:rsidP="00FE1E2C">
      <w:pPr>
        <w:spacing w:after="0" w:line="240" w:lineRule="auto"/>
      </w:pPr>
      <w:r>
        <w:separator/>
      </w:r>
    </w:p>
  </w:footnote>
  <w:footnote w:type="continuationSeparator" w:id="0">
    <w:p w14:paraId="288D29AC" w14:textId="77777777" w:rsidR="00FE1E2C" w:rsidRDefault="00FE1E2C" w:rsidP="00FE1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368D"/>
    <w:multiLevelType w:val="hybridMultilevel"/>
    <w:tmpl w:val="10B422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9A241F4"/>
    <w:multiLevelType w:val="hybridMultilevel"/>
    <w:tmpl w:val="DF08E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845F1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91290780">
    <w:abstractNumId w:val="2"/>
  </w:num>
  <w:num w:numId="2" w16cid:durableId="1654942476">
    <w:abstractNumId w:val="0"/>
  </w:num>
  <w:num w:numId="3" w16cid:durableId="1761412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jb_classification_visible" w:val="False"/>
  </w:docVars>
  <w:rsids>
    <w:rsidRoot w:val="00FE1E2C"/>
    <w:rsid w:val="000B2A18"/>
    <w:rsid w:val="000E382F"/>
    <w:rsid w:val="00141700"/>
    <w:rsid w:val="00170284"/>
    <w:rsid w:val="001B01ED"/>
    <w:rsid w:val="001D4A9D"/>
    <w:rsid w:val="001F4DA3"/>
    <w:rsid w:val="00203B48"/>
    <w:rsid w:val="00203EE4"/>
    <w:rsid w:val="0026415E"/>
    <w:rsid w:val="002C4B8C"/>
    <w:rsid w:val="00357BAA"/>
    <w:rsid w:val="003A2837"/>
    <w:rsid w:val="003B0D15"/>
    <w:rsid w:val="004223BB"/>
    <w:rsid w:val="00536930"/>
    <w:rsid w:val="00574BA2"/>
    <w:rsid w:val="005855A6"/>
    <w:rsid w:val="0059188E"/>
    <w:rsid w:val="005F3617"/>
    <w:rsid w:val="006A0066"/>
    <w:rsid w:val="006D50C1"/>
    <w:rsid w:val="006F7F45"/>
    <w:rsid w:val="007B4495"/>
    <w:rsid w:val="00921250"/>
    <w:rsid w:val="009510B6"/>
    <w:rsid w:val="00B547DF"/>
    <w:rsid w:val="00B67838"/>
    <w:rsid w:val="00B74F98"/>
    <w:rsid w:val="00B97422"/>
    <w:rsid w:val="00BC1AB3"/>
    <w:rsid w:val="00D54532"/>
    <w:rsid w:val="00DB45D8"/>
    <w:rsid w:val="00DF06F9"/>
    <w:rsid w:val="00F37000"/>
    <w:rsid w:val="00FB3F21"/>
    <w:rsid w:val="00FE1E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C153DE"/>
  <w15:chartTrackingRefBased/>
  <w15:docId w15:val="{2609A00D-CEE0-4B0A-87D7-3DF63913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E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E2C"/>
  </w:style>
  <w:style w:type="paragraph" w:styleId="Footer">
    <w:name w:val="footer"/>
    <w:basedOn w:val="Normal"/>
    <w:link w:val="FooterChar"/>
    <w:uiPriority w:val="99"/>
    <w:unhideWhenUsed/>
    <w:rsid w:val="00FE1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E2C"/>
  </w:style>
  <w:style w:type="paragraph" w:styleId="NormalWeb">
    <w:name w:val="Normal (Web)"/>
    <w:basedOn w:val="Normal"/>
    <w:uiPriority w:val="99"/>
    <w:unhideWhenUsed/>
    <w:rsid w:val="00FE1E2C"/>
    <w:pPr>
      <w:spacing w:before="100" w:beforeAutospacing="1" w:after="100" w:afterAutospacing="1" w:line="240" w:lineRule="auto"/>
    </w:pPr>
    <w:rPr>
      <w:rFonts w:ascii="Times New Roman" w:eastAsia="Times New Roman" w:hAnsi="Times New Roman" w:cs="Times New Roman"/>
      <w:kern w:val="0"/>
      <w:sz w:val="24"/>
      <w:szCs w:val="24"/>
      <w:lang w:eastAsia="en-IE"/>
    </w:rPr>
  </w:style>
  <w:style w:type="character" w:styleId="Emphasis">
    <w:name w:val="Emphasis"/>
    <w:basedOn w:val="DefaultParagraphFont"/>
    <w:uiPriority w:val="20"/>
    <w:qFormat/>
    <w:rsid w:val="00FE1E2C"/>
    <w:rPr>
      <w:i/>
      <w:iCs/>
    </w:rPr>
  </w:style>
  <w:style w:type="paragraph" w:customStyle="1" w:styleId="Default">
    <w:name w:val="Default"/>
    <w:rsid w:val="00FE1E2C"/>
    <w:pPr>
      <w:autoSpaceDE w:val="0"/>
      <w:autoSpaceDN w:val="0"/>
      <w:adjustRightInd w:val="0"/>
      <w:spacing w:after="0" w:line="240" w:lineRule="auto"/>
    </w:pPr>
    <w:rPr>
      <w:rFonts w:ascii="Calibri" w:hAnsi="Calibri" w:cs="Calibri"/>
      <w:color w:val="000000"/>
      <w:kern w:val="0"/>
      <w:sz w:val="24"/>
      <w:szCs w:val="24"/>
    </w:rPr>
  </w:style>
  <w:style w:type="character" w:styleId="Strong">
    <w:name w:val="Strong"/>
    <w:basedOn w:val="DefaultParagraphFont"/>
    <w:uiPriority w:val="22"/>
    <w:qFormat/>
    <w:rsid w:val="003A2837"/>
    <w:rPr>
      <w:b/>
      <w:bCs/>
    </w:rPr>
  </w:style>
  <w:style w:type="paragraph" w:styleId="ListParagraph">
    <w:name w:val="List Paragraph"/>
    <w:basedOn w:val="Normal"/>
    <w:uiPriority w:val="34"/>
    <w:qFormat/>
    <w:rsid w:val="006A0066"/>
    <w:pPr>
      <w:ind w:left="720"/>
      <w:contextualSpacing/>
    </w:pPr>
  </w:style>
  <w:style w:type="paragraph" w:styleId="Revision">
    <w:name w:val="Revision"/>
    <w:hidden/>
    <w:uiPriority w:val="99"/>
    <w:semiHidden/>
    <w:rsid w:val="006F7F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B501D-79B7-4C01-8FED-EB910488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1169</Words>
  <Characters>6666</Characters>
  <Application>Microsoft Office Word</Application>
  <DocSecurity>0</DocSecurity>
  <Lines>55</Lines>
  <Paragraphs>15</Paragraphs>
  <ScaleCrop>false</ScaleCrop>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Citrolo, Giulia</dc:creator>
  <cp:keywords/>
  <dc:description/>
  <cp:lastModifiedBy>DelPinoCostan, Juan</cp:lastModifiedBy>
  <cp:revision>4</cp:revision>
  <dcterms:created xsi:type="dcterms:W3CDTF">2024-05-29T11:22:00Z</dcterms:created>
  <dcterms:modified xsi:type="dcterms:W3CDTF">2024-06-05T15:53:00Z</dcterms:modified>
  <cp:contentStatus>## JB Classification: internal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b_timestamp">
    <vt:lpwstr>2024052912150550</vt:lpwstr>
  </property>
</Properties>
</file>