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rsidP="009C55C7">
      <w:pPr>
        <w:spacing w:line="228" w:lineRule="auto"/>
        <w:rPr>
          <w:b/>
          <w:bCs/>
        </w:rPr>
      </w:pPr>
      <w:r>
        <w:rPr>
          <w:noProof/>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rsidP="009C55C7">
      <w:pPr>
        <w:spacing w:line="228" w:lineRule="auto"/>
        <w:rPr>
          <w:b/>
          <w:bCs/>
        </w:rPr>
      </w:pPr>
    </w:p>
    <w:p w14:paraId="0367A7E7" w14:textId="4E66D032" w:rsidR="005855A6" w:rsidRDefault="00FE1E2C" w:rsidP="009C55C7">
      <w:pPr>
        <w:spacing w:line="228" w:lineRule="auto"/>
        <w:rPr>
          <w:b/>
          <w:bCs/>
        </w:rPr>
      </w:pPr>
      <w:r>
        <w:rPr>
          <w:b/>
        </w:rPr>
        <w:t xml:space="preserve">Premium Selection UCITS ICAV </w:t>
      </w:r>
    </w:p>
    <w:p w14:paraId="2DBCA78C" w14:textId="77777777" w:rsidR="005855A6" w:rsidRDefault="005855A6" w:rsidP="009C55C7">
      <w:pPr>
        <w:spacing w:line="228" w:lineRule="auto"/>
        <w:rPr>
          <w:b/>
          <w:bCs/>
        </w:rPr>
      </w:pPr>
    </w:p>
    <w:p w14:paraId="4622AC0B" w14:textId="3AA105C3" w:rsidR="00FE1E2C" w:rsidRPr="00BC1AB3" w:rsidRDefault="005855A6" w:rsidP="009C55C7">
      <w:pPr>
        <w:spacing w:line="228" w:lineRule="auto"/>
        <w:rPr>
          <w:b/>
          <w:bCs/>
        </w:rPr>
      </w:pPr>
      <w:r>
        <w:rPr>
          <w:b/>
        </w:rPr>
        <w:t>Julius Baer Edelweiss Swiss Equity – un comparto di Premium Selection UCITS ICAV – Documento di sintesi dell’informativa SFDR – 07/06/2024</w:t>
      </w:r>
    </w:p>
    <w:p w14:paraId="16E6156F" w14:textId="32CA1CA9" w:rsidR="00B74F98" w:rsidRPr="00536930" w:rsidRDefault="00FE1E2C" w:rsidP="009C55C7">
      <w:pPr>
        <w:pStyle w:val="NormalWeb"/>
        <w:shd w:val="clear" w:color="auto" w:fill="FFFFFF"/>
        <w:spacing w:before="0" w:beforeAutospacing="0" w:after="0" w:afterAutospacing="0" w:line="228" w:lineRule="auto"/>
        <w:textAlignment w:val="baseline"/>
        <w:rPr>
          <w:rFonts w:asciiTheme="minorHAnsi" w:hAnsiTheme="minorHAnsi" w:cstheme="minorHAnsi"/>
          <w:sz w:val="20"/>
          <w:szCs w:val="20"/>
        </w:rPr>
      </w:pPr>
      <w:r>
        <w:rPr>
          <w:rStyle w:val="Emphasis"/>
          <w:rFonts w:asciiTheme="minorHAnsi" w:hAnsiTheme="minorHAnsi"/>
          <w:b/>
          <w:i w:val="0"/>
          <w:sz w:val="20"/>
          <w:bdr w:val="none" w:sz="0" w:space="0" w:color="auto" w:frame="1"/>
        </w:rPr>
        <w:t>Obiettivo di investimento sostenibile</w:t>
      </w:r>
      <w:r>
        <w:t xml:space="preserve"> - </w:t>
      </w:r>
      <w:r>
        <w:rPr>
          <w:rFonts w:asciiTheme="minorHAnsi" w:hAnsiTheme="minorHAnsi"/>
          <w:sz w:val="20"/>
        </w:rPr>
        <w:t>Il Fondo promuove caratteristiche ambientali o sociali ma non ha come obiettivo l’investimento sostenibile.</w:t>
      </w:r>
    </w:p>
    <w:p w14:paraId="0EF770F2" w14:textId="77777777" w:rsidR="00B74F98" w:rsidRPr="00536930" w:rsidRDefault="00B74F98" w:rsidP="009C55C7">
      <w:pPr>
        <w:pStyle w:val="NormalWeb"/>
        <w:shd w:val="clear" w:color="auto" w:fill="FFFFFF"/>
        <w:spacing w:before="0" w:beforeAutospacing="0" w:after="0" w:afterAutospacing="0" w:line="228" w:lineRule="auto"/>
        <w:textAlignment w:val="baseline"/>
        <w:rPr>
          <w:rFonts w:asciiTheme="minorHAnsi" w:hAnsiTheme="minorHAnsi" w:cstheme="minorHAnsi"/>
          <w:sz w:val="20"/>
          <w:szCs w:val="20"/>
        </w:rPr>
      </w:pPr>
    </w:p>
    <w:p w14:paraId="60ADB336" w14:textId="0EBA3C04" w:rsidR="006A0066" w:rsidRPr="00536930" w:rsidRDefault="00FE1E2C" w:rsidP="009C55C7">
      <w:pPr>
        <w:pStyle w:val="NormalWeb"/>
        <w:shd w:val="clear" w:color="auto" w:fill="FFFFFF"/>
        <w:spacing w:before="0" w:beforeAutospacing="0" w:after="0" w:afterAutospacing="0" w:line="228" w:lineRule="auto"/>
        <w:textAlignment w:val="baseline"/>
        <w:rPr>
          <w:rFonts w:asciiTheme="minorHAnsi" w:hAnsiTheme="minorHAnsi" w:cstheme="minorHAnsi"/>
          <w:i/>
          <w:iCs/>
          <w:color w:val="666666"/>
          <w:sz w:val="20"/>
          <w:szCs w:val="20"/>
          <w:bdr w:val="none" w:sz="0" w:space="0" w:color="auto" w:frame="1"/>
        </w:rPr>
      </w:pPr>
      <w:r>
        <w:rPr>
          <w:rStyle w:val="Emphasis"/>
          <w:rFonts w:asciiTheme="minorHAnsi" w:hAnsiTheme="minorHAnsi"/>
          <w:b/>
          <w:i w:val="0"/>
          <w:sz w:val="20"/>
          <w:bdr w:val="none" w:sz="0" w:space="0" w:color="auto" w:frame="1"/>
        </w:rPr>
        <w:t>Caratteristiche ambientali/sociali del Fondo</w:t>
      </w:r>
      <w:r>
        <w:t xml:space="preserve"> - </w:t>
      </w:r>
      <w:r>
        <w:rPr>
          <w:rFonts w:asciiTheme="minorHAnsi" w:hAnsiTheme="minorHAnsi"/>
          <w:sz w:val="20"/>
        </w:rPr>
        <w:t xml:space="preserve">Il Fondo promuove le seguenti caratteristiche ambientali e sociali: *mitigazione del cambiamento climatico e adattamento allo stesso; *conservazione della biodiversità; *buone e sane condizioni di lavoro; *conformità agli standard previsti da norme globali. </w:t>
      </w:r>
    </w:p>
    <w:p w14:paraId="701A8DFC" w14:textId="77777777" w:rsidR="00B74F98" w:rsidRPr="00536930" w:rsidRDefault="00FE1E2C" w:rsidP="009C55C7">
      <w:pPr>
        <w:pStyle w:val="Default"/>
        <w:spacing w:line="228" w:lineRule="auto"/>
        <w:rPr>
          <w:rFonts w:cstheme="minorHAnsi"/>
          <w:sz w:val="20"/>
          <w:szCs w:val="20"/>
        </w:rPr>
      </w:pPr>
      <w:r>
        <w:rPr>
          <w:sz w:val="20"/>
        </w:rPr>
        <w:t xml:space="preserve">Al fine di garantire il mantenimento del proprio profilo ESG, il Fondo è tenuto a investire in strumenti che rispettino le soglie previste dalla </w:t>
      </w:r>
      <w:r>
        <w:rPr>
          <w:b/>
          <w:sz w:val="20"/>
        </w:rPr>
        <w:t>Metodologia di rating degli investimenti sostenibili</w:t>
      </w:r>
      <w:r>
        <w:rPr>
          <w:sz w:val="20"/>
        </w:rPr>
        <w:t xml:space="preserve"> proprietaria del Gestore degli investimenti.</w:t>
      </w:r>
    </w:p>
    <w:p w14:paraId="682E783E" w14:textId="2619686A" w:rsidR="00B74F98" w:rsidRPr="00536930" w:rsidRDefault="00DB45D8" w:rsidP="009C55C7">
      <w:pPr>
        <w:pStyle w:val="Default"/>
        <w:spacing w:line="228" w:lineRule="auto"/>
        <w:rPr>
          <w:rFonts w:cstheme="minorHAnsi"/>
          <w:sz w:val="20"/>
          <w:szCs w:val="20"/>
        </w:rPr>
      </w:pPr>
      <w:r>
        <w:rPr>
          <w:sz w:val="20"/>
        </w:rPr>
        <w:t>Il Gestore si avvale di un Punteggio climatico che affronta la questione delle emissioni di gas serra e dell’esposizione dell’impresa beneficiaria degli investimenti alla transizione verso un mondo a zero emissioni nette. Il Punteggio climatico si basa sull’intensità delle emissioni di carbonio di ambito 1 e 2 (che costituiscono indicatori dei principali effetti negativi) ovvero le emissioni di carbonio dell’impresa beneficiaria degli investimenti in proporzione alle sue dimensioni. Il Punteggio del capitale naturale affronta i temi della biodiversità e dell’inquinamento e consente di identificare le imprese che hanno un’elevata esposizione a, e un impatto su, problematiche ambientali non riguardanti il solo clima. Il Punteggio relativo alle norme globali si concentra sulle attività delle imprese beneficiarie degli investimenti e sulla loro conformità a norme accettate a livello globale in materia di diritti umani e dei lavoratori e di pratiche aziendali responsabili. Il Punteggio del capitale umano riguarda le condizioni di lavoro, lo sviluppo del personale e le politiche relative al luogo di lavoro.</w:t>
      </w:r>
    </w:p>
    <w:p w14:paraId="3CF4B36E" w14:textId="77777777" w:rsidR="00B74F98" w:rsidRPr="00536930" w:rsidRDefault="00B74F98" w:rsidP="009C55C7">
      <w:pPr>
        <w:pStyle w:val="Default"/>
        <w:spacing w:line="228" w:lineRule="auto"/>
        <w:rPr>
          <w:rFonts w:cstheme="minorHAnsi"/>
          <w:sz w:val="20"/>
          <w:szCs w:val="20"/>
        </w:rPr>
      </w:pPr>
    </w:p>
    <w:p w14:paraId="2391313A" w14:textId="5FDD6366" w:rsidR="00B74F98" w:rsidRPr="00536930" w:rsidRDefault="00DB45D8" w:rsidP="009C55C7">
      <w:pPr>
        <w:spacing w:line="228" w:lineRule="auto"/>
        <w:rPr>
          <w:rFonts w:cstheme="minorHAnsi"/>
          <w:sz w:val="20"/>
          <w:szCs w:val="20"/>
        </w:rPr>
      </w:pPr>
      <w:r>
        <w:rPr>
          <w:rStyle w:val="Emphasis"/>
          <w:b/>
          <w:i w:val="0"/>
          <w:sz w:val="20"/>
          <w:bdr w:val="none" w:sz="0" w:space="0" w:color="auto" w:frame="1"/>
          <w:shd w:val="clear" w:color="auto" w:fill="FFFFFF"/>
        </w:rPr>
        <w:t>Strategia di investimento del Fondo.</w:t>
      </w:r>
      <w:r>
        <w:rPr>
          <w:rStyle w:val="Emphasis"/>
          <w:b/>
          <w:color w:val="005D9F"/>
          <w:sz w:val="20"/>
          <w:bdr w:val="none" w:sz="0" w:space="0" w:color="auto" w:frame="1"/>
          <w:shd w:val="clear" w:color="auto" w:fill="FFFFFF"/>
        </w:rPr>
        <w:t xml:space="preserve"> </w:t>
      </w:r>
      <w:r>
        <w:rPr>
          <w:sz w:val="20"/>
        </w:rPr>
        <w:t>Il Fondo investe principalmente in azioni di società svizzere incluse nello SPI e denominate in CHF. Si prevede che l’universo di investimento sarà composto da circa 80-100 titoli azionari. Il portafoglio comprende principalmente due classi di attività, ovvero liquidità e azioni, ed è costruito quasi esclusivamente a partire da singoli titoli azionari.</w:t>
      </w:r>
    </w:p>
    <w:p w14:paraId="731C0062" w14:textId="1E7A18A3" w:rsidR="00536930" w:rsidRDefault="00DB45D8" w:rsidP="009C55C7">
      <w:pPr>
        <w:spacing w:line="228" w:lineRule="auto"/>
        <w:rPr>
          <w:rStyle w:val="Emphasis"/>
          <w:rFonts w:cstheme="minorHAnsi"/>
          <w:i w:val="0"/>
          <w:iCs w:val="0"/>
          <w:sz w:val="20"/>
          <w:szCs w:val="20"/>
        </w:rPr>
      </w:pPr>
      <w:r>
        <w:rPr>
          <w:sz w:val="20"/>
        </w:rPr>
        <w:t xml:space="preserve"> </w:t>
      </w:r>
      <w:r>
        <w:rPr>
          <w:rStyle w:val="Emphasis"/>
          <w:b/>
          <w:i w:val="0"/>
          <w:sz w:val="20"/>
          <w:bdr w:val="none" w:sz="0" w:space="0" w:color="auto" w:frame="1"/>
          <w:shd w:val="clear" w:color="auto" w:fill="FFFFFF"/>
        </w:rPr>
        <w:t>Metodologie utilizzate per misurare il rispetto delle caratteristiche sociali o ambientali</w:t>
      </w:r>
      <w:r>
        <w:rPr>
          <w:rStyle w:val="Emphasis"/>
          <w:b/>
          <w:color w:val="005D9F"/>
          <w:sz w:val="20"/>
          <w:bdr w:val="none" w:sz="0" w:space="0" w:color="auto" w:frame="1"/>
          <w:shd w:val="clear" w:color="auto" w:fill="FFFFFF"/>
        </w:rPr>
        <w:t xml:space="preserve"> - </w:t>
      </w:r>
      <w:r>
        <w:rPr>
          <w:sz w:val="20"/>
        </w:rPr>
        <w:t xml:space="preserve">Il Fondo promuove caratteristiche ambientali o sociali investendo in strumenti che rispettino la Metodologia di rating degli investimenti sostenibili proprietaria del Gestore degli investimenti (la “Metodologia di investimento sostenibile”). La Metodologia di investimento sostenibile è strutturata in tre livelli: </w:t>
      </w:r>
      <w:r>
        <w:rPr>
          <w:sz w:val="20"/>
        </w:rPr>
        <w:br/>
        <w:t xml:space="preserve">(1) Il primo prevede la raccolta di dati ESG non elaborati da vari fornitori di dati esterni, nonché di ricerche tematiche interne legate a temi di investimento connessi a obiettivi sostenibili; (2) a partire da tali dati ESG non elaborati e ricerche tematiche interne vengono calcolati determinati punteggi tematici; (3) all’ultimo livello vengono ricavate quattro diverse categorie ESG utilizzando un mix tra i punteggi tematici e determinati indicatori (dati ESG elaborati, ad esempio rating) ottenuti direttamente da vari fornitori di dati ESG. Le quattro categorie ESG risultanti dal processo sono: </w:t>
      </w:r>
      <w:r>
        <w:rPr>
          <w:i/>
          <w:sz w:val="20"/>
        </w:rPr>
        <w:t>“Rischio ESG”, “Tradizionale”, “Responsabile” e “Sostenibile”</w:t>
      </w:r>
      <w:r>
        <w:rPr>
          <w:sz w:val="20"/>
        </w:rPr>
        <w:t>.</w:t>
      </w:r>
      <w:r>
        <w:rPr>
          <w:rStyle w:val="Emphasis"/>
          <w:i w:val="0"/>
          <w:sz w:val="20"/>
          <w:bdr w:val="none" w:sz="0" w:space="0" w:color="auto" w:frame="1"/>
          <w:shd w:val="clear" w:color="auto" w:fill="FFFFFF"/>
        </w:rPr>
        <w:t xml:space="preserve">  </w:t>
      </w:r>
      <w:r>
        <w:rPr>
          <w:rStyle w:val="Emphasis"/>
          <w:i w:val="0"/>
          <w:sz w:val="20"/>
          <w:bdr w:val="none" w:sz="0" w:space="0" w:color="auto" w:frame="1"/>
          <w:shd w:val="clear" w:color="auto" w:fill="FFFFFF"/>
        </w:rPr>
        <w:br/>
      </w:r>
      <w:r>
        <w:rPr>
          <w:rStyle w:val="Emphasis"/>
          <w:b/>
          <w:i w:val="0"/>
          <w:color w:val="005D9F"/>
          <w:sz w:val="20"/>
          <w:bdr w:val="none" w:sz="0" w:space="0" w:color="auto" w:frame="1"/>
          <w:shd w:val="clear" w:color="auto" w:fill="FFFFFF"/>
        </w:rPr>
        <w:br/>
      </w:r>
      <w:r>
        <w:rPr>
          <w:rStyle w:val="Emphasis"/>
          <w:b/>
          <w:i w:val="0"/>
          <w:sz w:val="20"/>
          <w:bdr w:val="none" w:sz="0" w:space="0" w:color="auto" w:frame="1"/>
          <w:shd w:val="clear" w:color="auto" w:fill="FFFFFF"/>
        </w:rPr>
        <w:t>Quota di investimenti con caratteristiche ambientali/sociali</w:t>
      </w:r>
      <w:r>
        <w:rPr>
          <w:rStyle w:val="Emphasis"/>
          <w:i w:val="0"/>
          <w:sz w:val="20"/>
        </w:rPr>
        <w:t xml:space="preserve"> - Almeno il 70% del patrimonio del Fondo deve essere sempre investito in strumenti finanziari classificati dal Gestore degli investimenti come “Responsabili” o “Sostenibili”. </w:t>
      </w:r>
      <w:r>
        <w:rPr>
          <w:rStyle w:val="Emphasis"/>
          <w:i w:val="0"/>
          <w:sz w:val="20"/>
        </w:rPr>
        <w:br/>
      </w:r>
      <w:r>
        <w:rPr>
          <w:rStyle w:val="Strong"/>
          <w:sz w:val="20"/>
          <w:bdr w:val="none" w:sz="0" w:space="0" w:color="auto" w:frame="1"/>
          <w:shd w:val="clear" w:color="auto" w:fill="FFFFFF"/>
        </w:rPr>
        <w:t>Elementi vincolanti della strategia di investimento</w:t>
      </w:r>
      <w:r>
        <w:rPr>
          <w:rStyle w:val="Strong"/>
          <w:i/>
          <w:color w:val="005D9F"/>
          <w:sz w:val="20"/>
          <w:bdr w:val="none" w:sz="0" w:space="0" w:color="auto" w:frame="1"/>
          <w:shd w:val="clear" w:color="auto" w:fill="FFFFFF"/>
        </w:rPr>
        <w:t xml:space="preserve"> </w:t>
      </w:r>
      <w:r>
        <w:rPr>
          <w:sz w:val="20"/>
        </w:rPr>
        <w:t xml:space="preserve">- Il Fondo promuove caratteristiche ambientali e sociali investendo </w:t>
      </w:r>
      <w:r>
        <w:rPr>
          <w:rStyle w:val="Emphasis"/>
          <w:i w:val="0"/>
          <w:sz w:val="20"/>
          <w:bdr w:val="none" w:sz="0" w:space="0" w:color="auto" w:frame="1"/>
          <w:shd w:val="clear" w:color="auto" w:fill="FFFFFF"/>
        </w:rPr>
        <w:t xml:space="preserve">almeno </w:t>
      </w:r>
      <w:r>
        <w:rPr>
          <w:rStyle w:val="Emphasis"/>
          <w:i w:val="0"/>
          <w:sz w:val="20"/>
          <w:u w:val="single"/>
          <w:bdr w:val="none" w:sz="0" w:space="0" w:color="auto" w:frame="1"/>
          <w:shd w:val="clear" w:color="auto" w:fill="FFFFFF"/>
        </w:rPr>
        <w:t>il 70% del proprio patrimonio in strumenti finanziari classificati dal Gestore degli investimenti come “Responsabili” o “Sostenibili”.</w:t>
      </w:r>
      <w:r>
        <w:rPr>
          <w:rStyle w:val="Emphasis"/>
          <w:i w:val="0"/>
          <w:sz w:val="20"/>
          <w:bdr w:val="none" w:sz="0" w:space="0" w:color="auto" w:frame="1"/>
          <w:shd w:val="clear" w:color="auto" w:fill="FFFFFF"/>
        </w:rPr>
        <w:t xml:space="preserve"> Il rimanente 30% potrà essere investito in strumenti finanziari </w:t>
      </w:r>
      <w:r>
        <w:rPr>
          <w:rStyle w:val="Emphasis"/>
          <w:i w:val="0"/>
          <w:sz w:val="20"/>
          <w:bdr w:val="none" w:sz="0" w:space="0" w:color="auto" w:frame="1"/>
          <w:shd w:val="clear" w:color="auto" w:fill="FFFFFF"/>
        </w:rPr>
        <w:lastRenderedPageBreak/>
        <w:t>classificati come “Tradizionali” o</w:t>
      </w:r>
      <w:r>
        <w:rPr>
          <w:rStyle w:val="Emphasis"/>
          <w:i w:val="0"/>
          <w:sz w:val="20"/>
        </w:rPr>
        <w:t xml:space="preserve"> </w:t>
      </w:r>
      <w:r>
        <w:rPr>
          <w:rStyle w:val="Emphasis"/>
          <w:i w:val="0"/>
          <w:sz w:val="20"/>
          <w:bdr w:val="none" w:sz="0" w:space="0" w:color="auto" w:frame="1"/>
          <w:shd w:val="clear" w:color="auto" w:fill="FFFFFF"/>
        </w:rPr>
        <w:t>privi di una categoria ESG assegnata dal Gestore degli investimenti</w:t>
      </w:r>
      <w:r>
        <w:rPr>
          <w:rStyle w:val="Emphasis"/>
          <w:i w:val="0"/>
          <w:sz w:val="20"/>
        </w:rPr>
        <w:t xml:space="preserve"> </w:t>
      </w:r>
      <w:r>
        <w:rPr>
          <w:rStyle w:val="Emphasis"/>
          <w:i w:val="0"/>
          <w:sz w:val="20"/>
          <w:bdr w:val="none" w:sz="0" w:space="0" w:color="auto" w:frame="1"/>
          <w:shd w:val="clear" w:color="auto" w:fill="FFFFFF"/>
        </w:rPr>
        <w:t>oppure in qualsiasi strumento approvato dal Comitato per le eccezioni.</w:t>
      </w:r>
    </w:p>
    <w:p w14:paraId="09D1B46C" w14:textId="4D0FF90F" w:rsidR="00B74F98" w:rsidRPr="00536930" w:rsidRDefault="00921250" w:rsidP="009C55C7">
      <w:pPr>
        <w:spacing w:line="228" w:lineRule="auto"/>
        <w:rPr>
          <w:rFonts w:cstheme="minorHAnsi"/>
          <w:sz w:val="20"/>
          <w:szCs w:val="20"/>
        </w:rPr>
      </w:pPr>
      <w:r>
        <w:rPr>
          <w:rStyle w:val="Emphasis"/>
          <w:i w:val="0"/>
          <w:sz w:val="20"/>
        </w:rPr>
        <w:br/>
      </w:r>
      <w:r>
        <w:rPr>
          <w:rStyle w:val="Emphasis"/>
          <w:b/>
          <w:i w:val="0"/>
          <w:sz w:val="20"/>
          <w:bdr w:val="none" w:sz="0" w:space="0" w:color="auto" w:frame="1"/>
          <w:shd w:val="clear" w:color="auto" w:fill="FFFFFF"/>
        </w:rPr>
        <w:t>Monitoraggio delle caratteristiche ambientali/sociali</w:t>
      </w:r>
      <w:r>
        <w:rPr>
          <w:color w:val="000000"/>
          <w:kern w:val="0"/>
        </w:rPr>
        <w:t xml:space="preserve"> - </w:t>
      </w:r>
      <w:r>
        <w:rPr>
          <w:color w:val="000000"/>
          <w:kern w:val="0"/>
          <w:sz w:val="20"/>
        </w:rPr>
        <w:t xml:space="preserve">Il Gestore degli investimenti ha incorporato la valutazione dei Rischi di sostenibilità nel processo decisionale relativo agli investimenti del Fondo, sia nella fase iniziale di dovuta diligenza del processo di investimento sia durante il monitoraggio continuo degli investimenti del Fondo. L’integrazione delle valutazioni dei Rischi di sostenibilità nelle decisioni di investimento effettive mira a garantire che tali rischi vengano presi in considerazione analogamente a tutti gli altri rischi integrati nel processo decisionale relativo agli investimenti. </w:t>
      </w:r>
    </w:p>
    <w:p w14:paraId="138E30D7" w14:textId="78D2981A" w:rsidR="00B74F98" w:rsidRPr="00536930" w:rsidRDefault="001F4DA3" w:rsidP="009C55C7">
      <w:pPr>
        <w:spacing w:line="228" w:lineRule="auto"/>
        <w:rPr>
          <w:rFonts w:cstheme="minorHAnsi"/>
          <w:kern w:val="0"/>
          <w:sz w:val="20"/>
          <w:szCs w:val="20"/>
        </w:rPr>
      </w:pPr>
      <w:r>
        <w:rPr>
          <w:sz w:val="20"/>
          <w:bdr w:val="none" w:sz="0" w:space="0" w:color="auto" w:frame="1"/>
          <w:shd w:val="clear" w:color="auto" w:fill="FFFFFF"/>
        </w:rPr>
        <w:br/>
      </w:r>
      <w:r>
        <w:rPr>
          <w:rStyle w:val="Emphasis"/>
          <w:b/>
          <w:i w:val="0"/>
          <w:sz w:val="20"/>
          <w:bdr w:val="none" w:sz="0" w:space="0" w:color="auto" w:frame="1"/>
          <w:shd w:val="clear" w:color="auto" w:fill="FFFFFF"/>
        </w:rPr>
        <w:t>Limitazioni dei dati e delle metodologie</w:t>
      </w:r>
      <w:r>
        <w:rPr>
          <w:color w:val="000000"/>
          <w:kern w:val="0"/>
          <w:sz w:val="20"/>
        </w:rPr>
        <w:t xml:space="preserve"> - La valutazione dei Rischi di sostenibilità è complessa e può basarsi su dati ESG ottenuti da fornitori di dati esterni basati a loro volta sulle metodologie proprietarie dei fornitori di dati. I dati ESG, </w:t>
      </w:r>
      <w:r>
        <w:rPr>
          <w:kern w:val="0"/>
          <w:sz w:val="20"/>
        </w:rPr>
        <w:t xml:space="preserve">inclusi i rating, potrebbero non essere corretti, completi, aggiornati e/o costantemente disponibili e, per determinati emittenti, potrebbero essere difficili da reperire, a seconda del livello di trasparenza dell’emittente stesso e delle informazioni disponibili al pubblico. </w:t>
      </w:r>
    </w:p>
    <w:p w14:paraId="172258C8" w14:textId="42220D9D" w:rsidR="00536930" w:rsidRDefault="006A0066" w:rsidP="009C55C7">
      <w:pPr>
        <w:spacing w:line="228" w:lineRule="auto"/>
        <w:rPr>
          <w:rFonts w:cstheme="minorHAnsi"/>
          <w:sz w:val="20"/>
          <w:szCs w:val="20"/>
        </w:rPr>
      </w:pPr>
      <w:r>
        <w:rPr>
          <w:rStyle w:val="Emphasis"/>
          <w:b/>
          <w:i w:val="0"/>
          <w:sz w:val="20"/>
          <w:bdr w:val="none" w:sz="0" w:space="0" w:color="auto" w:frame="1"/>
          <w:shd w:val="clear" w:color="auto" w:fill="FFFFFF"/>
        </w:rPr>
        <w:t>Processo di dovuta diligenza e impegno</w:t>
      </w:r>
      <w:r>
        <w:t xml:space="preserve"> - Ogni investimento preso in considerazione è innanzitutto soggetto a dovuta diligenza da parte degli analisti in materia di fondi del Gestore degli investimenti, tramite cui viene redatto un elenco dei fondi approvati per l’acquisto, che copre tutte le classi di attività, le aree geografiche e tutti i temi specifici.</w:t>
      </w:r>
      <w:r>
        <w:rPr>
          <w:sz w:val="20"/>
        </w:rPr>
        <w:t xml:space="preserve"> Tali elenchi saranno utilizzati dal Gestore degli investimenti, che selezionerà quindi i singoli investimenti del Fondo a propria discrezione, seguendo il medesimo processo e la medesima metodologia applicati a tutti gli investimenti e le selezioni di titoli per acquisire esposizione alle varie classi di attività rappresentate nell’asset allocation tattica del Fondo. </w:t>
      </w:r>
    </w:p>
    <w:p w14:paraId="7C14FD81" w14:textId="2C4EDE58" w:rsidR="00536930" w:rsidRDefault="00141700" w:rsidP="009C55C7">
      <w:pPr>
        <w:spacing w:line="228" w:lineRule="auto"/>
        <w:rPr>
          <w:rStyle w:val="Emphasis"/>
          <w:rFonts w:cstheme="minorHAnsi"/>
          <w:i w:val="0"/>
          <w:iCs w:val="0"/>
          <w:sz w:val="20"/>
          <w:szCs w:val="20"/>
          <w:bdr w:val="none" w:sz="0" w:space="0" w:color="auto" w:frame="1"/>
          <w:shd w:val="clear" w:color="auto" w:fill="FFFFFF"/>
        </w:rPr>
      </w:pPr>
      <w:r>
        <w:rPr>
          <w:sz w:val="20"/>
        </w:rPr>
        <w:br/>
      </w:r>
      <w:r>
        <w:rPr>
          <w:rStyle w:val="Emphasis"/>
          <w:b/>
          <w:i w:val="0"/>
          <w:sz w:val="20"/>
          <w:bdr w:val="none" w:sz="0" w:space="0" w:color="auto" w:frame="1"/>
          <w:shd w:val="clear" w:color="auto" w:fill="FFFFFF"/>
        </w:rPr>
        <w:t>Impatto dei Rischi di sostenibilità sui rendimenti del Fondo</w:t>
      </w:r>
      <w:r>
        <w:rPr>
          <w:rStyle w:val="Emphasis"/>
          <w:color w:val="666666"/>
          <w:sz w:val="20"/>
          <w:bdr w:val="none" w:sz="0" w:space="0" w:color="auto" w:frame="1"/>
          <w:shd w:val="clear" w:color="auto" w:fill="FFFFFF"/>
        </w:rPr>
        <w:t xml:space="preserve"> - </w:t>
      </w:r>
      <w:r>
        <w:rPr>
          <w:rStyle w:val="Emphasis"/>
          <w:i w:val="0"/>
          <w:sz w:val="20"/>
          <w:bdr w:val="none" w:sz="0" w:space="0" w:color="auto" w:frame="1"/>
          <w:shd w:val="clear" w:color="auto" w:fill="FFFFFF"/>
        </w:rPr>
        <w:t>I fattori connessi ai Rischi di sostenibilità costituiscono generalmente rischi di investimento di medio/lungo periodo che possono anche concretizzarsi nel breve periodo. Tali rischi possono concretizzarsi rispetto a una qualsiasi delle tre seguenti dimensioni: rischi ambientali, sociali e/o connessi alla governance. I Rischi di sostenibilità, ad esempio, possono concretizzarsi come rischi di perdite di entità estrema dovute a uno specifico emittente. Tali eventi relativi a Rischi di sostenibilità connessi a specifici emittenti, tipicamente, si verificano con bassa frequenza e probabilità ma possono avere un forte impatto finanziario e determinare perdite finanziarie significative a carico del Fondo. Il Gestore degli investimenti riconosce che l’esposizione del Fondo ai Rischi di sostenibilità evolve nel tempo e continuerà a monitorarla.</w:t>
      </w:r>
    </w:p>
    <w:p w14:paraId="6E264126" w14:textId="6D8A6F4F" w:rsidR="00536930" w:rsidRDefault="001F4DA3" w:rsidP="009C55C7">
      <w:pPr>
        <w:spacing w:line="228" w:lineRule="auto"/>
        <w:rPr>
          <w:rStyle w:val="Emphasis"/>
          <w:rFonts w:cstheme="minorHAnsi"/>
          <w:i w:val="0"/>
          <w:iCs w:val="0"/>
          <w:sz w:val="20"/>
          <w:szCs w:val="20"/>
          <w:bdr w:val="none" w:sz="0" w:space="0" w:color="auto" w:frame="1"/>
          <w:shd w:val="clear" w:color="auto" w:fill="FFFFFF"/>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Principali effetti negativi -</w:t>
      </w:r>
      <w:r>
        <w:rPr>
          <w:rStyle w:val="Emphasis"/>
          <w:i w:val="0"/>
          <w:sz w:val="20"/>
          <w:bdr w:val="none" w:sz="0" w:space="0" w:color="auto" w:frame="1"/>
          <w:shd w:val="clear" w:color="auto" w:fill="FFFFFF"/>
        </w:rPr>
        <w:t xml:space="preserve"> Al momento il Gestore degli investimenti e il Gestore non prendono in considerazione i principali effetti negativi delle decisioni di investimento sui Fattori di sostenibilità in relazione a questo Fondo. Poiché il Fondo non promuove caratteristiche ambientali o sociali né ha come obiettivo l’Investimento sostenibile, si è deciso che il Gestore degli investimenti e il Gestore non punteranno a misurare tali effetti negativi sui Fattori di sostenibilità</w:t>
      </w:r>
    </w:p>
    <w:p w14:paraId="12554B61" w14:textId="72DD08A1" w:rsidR="00FE1E2C" w:rsidRPr="00536930" w:rsidRDefault="001F4DA3" w:rsidP="009C55C7">
      <w:pPr>
        <w:spacing w:line="228" w:lineRule="auto"/>
        <w:rPr>
          <w:rFonts w:cstheme="minorHAnsi"/>
          <w:color w:val="000000" w:themeColor="text1"/>
          <w:kern w:val="0"/>
          <w:sz w:val="20"/>
          <w:szCs w:val="20"/>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Indice di riferimento</w:t>
      </w:r>
      <w:r>
        <w:rPr>
          <w:rStyle w:val="Emphasis"/>
          <w:i w:val="0"/>
          <w:sz w:val="20"/>
          <w:bdr w:val="none" w:sz="0" w:space="0" w:color="auto" w:frame="1"/>
          <w:shd w:val="clear" w:color="auto" w:fill="FFFFFF"/>
        </w:rPr>
        <w:t xml:space="preserve"> - </w:t>
      </w:r>
      <w:r>
        <w:rPr>
          <w:color w:val="000000" w:themeColor="text1"/>
          <w:kern w:val="0"/>
          <w:sz w:val="20"/>
        </w:rPr>
        <w:t>Il Fondo è gestito attivamente dal Gestore degli investimenti e non è vincolato ad alcun indice. Il Fondo utilizza un indice di riferimento, l’</w:t>
      </w:r>
      <w:r>
        <w:rPr>
          <w:i/>
          <w:color w:val="000000" w:themeColor="text1"/>
          <w:kern w:val="0"/>
          <w:sz w:val="20"/>
        </w:rPr>
        <w:t>MSCI Switzerland Net Total Return Local Index</w:t>
      </w:r>
      <w:r>
        <w:rPr>
          <w:color w:val="000000" w:themeColor="text1"/>
          <w:kern w:val="0"/>
          <w:sz w:val="20"/>
        </w:rPr>
        <w:t>, esclusivamente a fini di confronto della performance e il Gestore degli investimenti, nell’ambito dell’obiettivo e della politica di investimento del Fondo, ha un’ampia discrezionalità per discostarsi dai costituenti, dalle ponderazioni e dalle caratteristiche di rischio dell’Indice di riferimento. Il livello di possibile analogia tra il Fondo e l’Indice di riferimento nella composizione e nelle caratteristiche di rischio varierà nel tempo e la performance del Fondo potrà essere sostanzialmente diversa da, o più strettamente allineata a, quella dell’Indice di riferimento.</w:t>
      </w:r>
    </w:p>
    <w:p w14:paraId="5FE43FB7" w14:textId="77777777" w:rsidR="00B74F98" w:rsidRPr="00536930" w:rsidRDefault="00B74F98" w:rsidP="009C55C7">
      <w:pPr>
        <w:spacing w:line="228" w:lineRule="auto"/>
        <w:rPr>
          <w:rFonts w:cstheme="minorHAnsi"/>
          <w:color w:val="000000" w:themeColor="text1"/>
          <w:kern w:val="0"/>
          <w:sz w:val="20"/>
          <w:szCs w:val="20"/>
        </w:rPr>
      </w:pPr>
    </w:p>
    <w:p w14:paraId="407B049A" w14:textId="4880A280" w:rsidR="00B74F98" w:rsidRPr="00536930" w:rsidRDefault="00B74F98" w:rsidP="009C55C7">
      <w:pPr>
        <w:spacing w:line="228" w:lineRule="auto"/>
        <w:rPr>
          <w:rFonts w:cstheme="minorHAnsi"/>
          <w:i/>
          <w:iCs/>
          <w:sz w:val="20"/>
          <w:szCs w:val="20"/>
          <w:bdr w:val="none" w:sz="0" w:space="0" w:color="auto" w:frame="1"/>
          <w:shd w:val="clear" w:color="auto" w:fill="FFFFFF"/>
        </w:rPr>
      </w:pPr>
      <w:r>
        <w:rPr>
          <w:i/>
          <w:sz w:val="20"/>
        </w:rPr>
        <w:t>Per ulteriori dettagli sulla strategia d’investimento impiegata dal Gestore degli Investimenti per raggiungere l’obiettivo d’investimento sostenibile del Fondo è possibile consultare il sito https://www.threerockcapital.com/sfdr-disclosure/</w:t>
      </w:r>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B2A18"/>
    <w:rsid w:val="000E382F"/>
    <w:rsid w:val="00141700"/>
    <w:rsid w:val="00170284"/>
    <w:rsid w:val="001B01ED"/>
    <w:rsid w:val="001D4A9D"/>
    <w:rsid w:val="001F4DA3"/>
    <w:rsid w:val="00203B48"/>
    <w:rsid w:val="00203EE4"/>
    <w:rsid w:val="0026415E"/>
    <w:rsid w:val="002C4B8C"/>
    <w:rsid w:val="00357BAA"/>
    <w:rsid w:val="003A2837"/>
    <w:rsid w:val="003B0D15"/>
    <w:rsid w:val="004223BB"/>
    <w:rsid w:val="00536930"/>
    <w:rsid w:val="00574BA2"/>
    <w:rsid w:val="005855A6"/>
    <w:rsid w:val="0059188E"/>
    <w:rsid w:val="005F3617"/>
    <w:rsid w:val="006A0066"/>
    <w:rsid w:val="006F7F45"/>
    <w:rsid w:val="007B4495"/>
    <w:rsid w:val="00921250"/>
    <w:rsid w:val="009510B6"/>
    <w:rsid w:val="009C55C7"/>
    <w:rsid w:val="00B547DF"/>
    <w:rsid w:val="00B67838"/>
    <w:rsid w:val="00B74F98"/>
    <w:rsid w:val="00B97422"/>
    <w:rsid w:val="00BC1AB3"/>
    <w:rsid w:val="00D54532"/>
    <w:rsid w:val="00DB45D8"/>
    <w:rsid w:val="00F37000"/>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DelPinoCostan, Juan</cp:lastModifiedBy>
  <cp:revision>3</cp:revision>
  <dcterms:created xsi:type="dcterms:W3CDTF">2024-05-29T11:22:00Z</dcterms:created>
  <dcterms:modified xsi:type="dcterms:W3CDTF">2024-06-05T15:55:00Z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