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B08C" w14:textId="185EF578" w:rsidR="00BC1AB3" w:rsidRDefault="00536930" w:rsidP="00865FC1">
      <w:pPr>
        <w:spacing w:line="233" w:lineRule="auto"/>
        <w:rPr>
          <w:b/>
          <w:bCs/>
        </w:rPr>
      </w:pPr>
      <w:r>
        <w:rPr>
          <w:noProof/>
        </w:rPr>
        <w:drawing>
          <wp:inline distT="0" distB="0" distL="0" distR="0" wp14:anchorId="0DFBCAE6" wp14:editId="5BEF169E">
            <wp:extent cx="1895185" cy="1003935"/>
            <wp:effectExtent l="0" t="0" r="0" b="0"/>
            <wp:docPr id="3" name="Picture 3" descr="Y:\Branding and Web Design\Three Rock Capi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and Web Design\Three Rock Capital Main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96" cy="1009185"/>
                    </a:xfrm>
                    <a:prstGeom prst="rect">
                      <a:avLst/>
                    </a:prstGeom>
                    <a:noFill/>
                    <a:ln>
                      <a:noFill/>
                    </a:ln>
                  </pic:spPr>
                </pic:pic>
              </a:graphicData>
            </a:graphic>
          </wp:inline>
        </w:drawing>
      </w:r>
    </w:p>
    <w:p w14:paraId="51A636BC" w14:textId="77777777" w:rsidR="005855A6" w:rsidRDefault="005855A6" w:rsidP="00865FC1">
      <w:pPr>
        <w:spacing w:line="233" w:lineRule="auto"/>
        <w:rPr>
          <w:b/>
          <w:bCs/>
        </w:rPr>
      </w:pPr>
    </w:p>
    <w:p w14:paraId="0367A7E7" w14:textId="4E66D032" w:rsidR="005855A6" w:rsidRDefault="00FE1E2C" w:rsidP="00865FC1">
      <w:pPr>
        <w:spacing w:line="233" w:lineRule="auto"/>
        <w:rPr>
          <w:b/>
          <w:bCs/>
        </w:rPr>
      </w:pPr>
      <w:r>
        <w:rPr>
          <w:b/>
        </w:rPr>
        <w:t xml:space="preserve">Premium Selection UCITS ICAV </w:t>
      </w:r>
    </w:p>
    <w:p w14:paraId="2DBCA78C" w14:textId="77777777" w:rsidR="005855A6" w:rsidRDefault="005855A6" w:rsidP="00865FC1">
      <w:pPr>
        <w:spacing w:line="233" w:lineRule="auto"/>
        <w:rPr>
          <w:b/>
          <w:bCs/>
        </w:rPr>
      </w:pPr>
    </w:p>
    <w:p w14:paraId="4622AC0B" w14:textId="3AA105C3" w:rsidR="00FE1E2C" w:rsidRPr="00BC1AB3" w:rsidRDefault="005855A6" w:rsidP="00865FC1">
      <w:pPr>
        <w:spacing w:line="233" w:lineRule="auto"/>
        <w:rPr>
          <w:b/>
          <w:bCs/>
        </w:rPr>
      </w:pPr>
      <w:r>
        <w:rPr>
          <w:b/>
        </w:rPr>
        <w:t>Julius Baer Edelweiss Swiss Equity – een subfonds van Premium Selection UCITS ICAV– Samenvatting duurzaamheidsinformatie conform de SFDR – 07/06/2024</w:t>
      </w:r>
    </w:p>
    <w:p w14:paraId="16E6156F" w14:textId="319F2808" w:rsidR="00B74F98" w:rsidRPr="00536930" w:rsidRDefault="00FE1E2C" w:rsidP="00865FC1">
      <w:pPr>
        <w:pStyle w:val="NormalWeb"/>
        <w:shd w:val="clear" w:color="auto" w:fill="FFFFFF"/>
        <w:spacing w:before="0" w:beforeAutospacing="0" w:after="0" w:afterAutospacing="0" w:line="233" w:lineRule="auto"/>
        <w:textAlignment w:val="baseline"/>
        <w:rPr>
          <w:rFonts w:asciiTheme="minorHAnsi" w:hAnsiTheme="minorHAnsi" w:cstheme="minorHAnsi"/>
          <w:sz w:val="20"/>
          <w:szCs w:val="20"/>
        </w:rPr>
      </w:pPr>
      <w:r>
        <w:rPr>
          <w:rStyle w:val="Emphasis"/>
          <w:rFonts w:asciiTheme="minorHAnsi" w:hAnsiTheme="minorHAnsi"/>
          <w:b/>
          <w:i w:val="0"/>
          <w:sz w:val="20"/>
          <w:bdr w:val="none" w:sz="0" w:space="0" w:color="auto" w:frame="1"/>
        </w:rPr>
        <w:t>Duurzame beleggingsdoelstelling</w:t>
      </w:r>
      <w:r>
        <w:t xml:space="preserve">- </w:t>
      </w:r>
      <w:r w:rsidRPr="0012117A">
        <w:rPr>
          <w:rFonts w:asciiTheme="minorHAnsi" w:hAnsiTheme="minorHAnsi"/>
          <w:sz w:val="20"/>
        </w:rPr>
        <w:t>Het Fonds promoot ecologische of sociale kenmerken</w:t>
      </w:r>
      <w:r w:rsidR="00073663">
        <w:rPr>
          <w:rFonts w:asciiTheme="minorHAnsi" w:hAnsiTheme="minorHAnsi"/>
          <w:sz w:val="20"/>
        </w:rPr>
        <w:t xml:space="preserve"> </w:t>
      </w:r>
      <w:r>
        <w:rPr>
          <w:rFonts w:asciiTheme="minorHAnsi" w:hAnsiTheme="minorHAnsi"/>
          <w:sz w:val="20"/>
        </w:rPr>
        <w:t>maar heeft duurzaam beleggen niet als doelstelling.</w:t>
      </w:r>
    </w:p>
    <w:p w14:paraId="0EF770F2" w14:textId="77777777" w:rsidR="00B74F98" w:rsidRPr="00536930" w:rsidRDefault="00B74F98" w:rsidP="00865FC1">
      <w:pPr>
        <w:pStyle w:val="NormalWeb"/>
        <w:shd w:val="clear" w:color="auto" w:fill="FFFFFF"/>
        <w:spacing w:before="0" w:beforeAutospacing="0" w:after="0" w:afterAutospacing="0" w:line="233" w:lineRule="auto"/>
        <w:textAlignment w:val="baseline"/>
        <w:rPr>
          <w:rFonts w:asciiTheme="minorHAnsi" w:hAnsiTheme="minorHAnsi" w:cstheme="minorHAnsi"/>
          <w:sz w:val="20"/>
          <w:szCs w:val="20"/>
        </w:rPr>
      </w:pPr>
    </w:p>
    <w:p w14:paraId="60ADB336" w14:textId="0EBA3C04" w:rsidR="006A0066" w:rsidRPr="00536930" w:rsidRDefault="00FE1E2C" w:rsidP="00865FC1">
      <w:pPr>
        <w:pStyle w:val="NormalWeb"/>
        <w:shd w:val="clear" w:color="auto" w:fill="FFFFFF"/>
        <w:spacing w:before="0" w:beforeAutospacing="0" w:after="0" w:afterAutospacing="0" w:line="233" w:lineRule="auto"/>
        <w:textAlignment w:val="baseline"/>
        <w:rPr>
          <w:rFonts w:asciiTheme="minorHAnsi" w:hAnsiTheme="minorHAnsi" w:cstheme="minorHAnsi"/>
          <w:i/>
          <w:iCs/>
          <w:color w:val="666666"/>
          <w:sz w:val="20"/>
          <w:szCs w:val="20"/>
          <w:bdr w:val="none" w:sz="0" w:space="0" w:color="auto" w:frame="1"/>
        </w:rPr>
      </w:pPr>
      <w:r>
        <w:rPr>
          <w:rStyle w:val="Emphasis"/>
          <w:rFonts w:asciiTheme="minorHAnsi" w:hAnsiTheme="minorHAnsi"/>
          <w:b/>
          <w:i w:val="0"/>
          <w:sz w:val="20"/>
          <w:bdr w:val="none" w:sz="0" w:space="0" w:color="auto" w:frame="1"/>
        </w:rPr>
        <w:t>Ecologische/sociale kenmerken van het Fonds</w:t>
      </w:r>
      <w:r>
        <w:t>- </w:t>
      </w:r>
      <w:r w:rsidRPr="00D355EB">
        <w:rPr>
          <w:rFonts w:ascii="Calibri" w:eastAsiaTheme="minorHAnsi" w:hAnsi="Calibri" w:cs="Calibri"/>
          <w:color w:val="000000"/>
          <w:sz w:val="20"/>
          <w:lang w:eastAsia="en-US"/>
        </w:rPr>
        <w:t>Het Fonds promoot de volgende ecologische en sociale kenmerken:</w:t>
      </w:r>
      <w:r>
        <w:rPr>
          <w:rFonts w:asciiTheme="minorHAnsi" w:hAnsiTheme="minorHAnsi"/>
          <w:sz w:val="20"/>
        </w:rPr>
        <w:t xml:space="preserve"> *Mitigatie van en aanpassing aan klimaatverandering; *Behoud van biodiversiteit; *Goede arbeidsomstandigheden voor werknemers;*Respect voor wereldwijde normen. </w:t>
      </w:r>
    </w:p>
    <w:p w14:paraId="701A8DFC" w14:textId="77777777" w:rsidR="00B74F98" w:rsidRPr="00536930" w:rsidRDefault="00FE1E2C" w:rsidP="00865FC1">
      <w:pPr>
        <w:pStyle w:val="Default"/>
        <w:spacing w:line="233" w:lineRule="auto"/>
        <w:rPr>
          <w:rFonts w:cstheme="minorHAnsi"/>
          <w:sz w:val="20"/>
          <w:szCs w:val="20"/>
        </w:rPr>
      </w:pPr>
      <w:r>
        <w:rPr>
          <w:sz w:val="20"/>
        </w:rPr>
        <w:t>Om ervoor te zorgen dat het Fonds zijn ESG-profiel behoudt, moet het Fonds beleggen in instrumenten die voldoen aan de drempelwaarden van de eigen</w:t>
      </w:r>
      <w:r>
        <w:rPr>
          <w:b/>
          <w:sz w:val="20"/>
        </w:rPr>
        <w:t xml:space="preserve"> ratingmethodologie voor duurzame beleggingen</w:t>
      </w:r>
      <w:r>
        <w:rPr>
          <w:sz w:val="20"/>
        </w:rPr>
        <w:t xml:space="preserve"> van de Beleggingsbeheerder.</w:t>
      </w:r>
    </w:p>
    <w:p w14:paraId="682E783E" w14:textId="2619686A" w:rsidR="00B74F98" w:rsidRPr="00536930" w:rsidRDefault="00DB45D8" w:rsidP="00865FC1">
      <w:pPr>
        <w:pStyle w:val="Default"/>
        <w:spacing w:line="233" w:lineRule="auto"/>
        <w:rPr>
          <w:rFonts w:cstheme="minorHAnsi"/>
          <w:sz w:val="20"/>
          <w:szCs w:val="20"/>
        </w:rPr>
      </w:pPr>
      <w:r>
        <w:rPr>
          <w:sz w:val="20"/>
        </w:rPr>
        <w:t>De beheerder maakt gebruik van een Klimaatscore betreffende broeikasgasemissies en de blootstelling van het bedrijf waarin wordt belegd aan de overgang naar een klimaatneutrale wereld. De basis van de Klimaatscore is de koolstofemissie-intensiteit binnen scope 1 en scope 2 (die de belangrijkste ongunstige effectenindicatoren zijn) die de koolstofemissies weergeeft, geschaald naar de grootte van een bedrijf waarin wordt belegd. De score voor natuurlijk kapitaal betreft de onderwerpen biodiversiteit, vervuiling, en maakt het mogelijk om bedrijven te identificeren die een aanzienlijke blootstelling hebben aan en impact hebben op andere ecologische kwesties dan klimaatverandering. De score voor globale normen richt zich op de activiteiten van bedrijven waarin wordt belegd en hun naleving van wereldwijd aanvaarde normen inzake mensenrechten, arbeidsrechten en verantwoorde bedrijfspraktijken. De score menselijk kapitaal betreft de arbeidsvoorwaarden en het ontwikkelingsbeleid voor werknemers.</w:t>
      </w:r>
    </w:p>
    <w:p w14:paraId="3CF4B36E" w14:textId="77777777" w:rsidR="00B74F98" w:rsidRPr="00536930" w:rsidRDefault="00B74F98" w:rsidP="00865FC1">
      <w:pPr>
        <w:pStyle w:val="Default"/>
        <w:spacing w:line="233" w:lineRule="auto"/>
        <w:rPr>
          <w:rFonts w:cstheme="minorHAnsi"/>
          <w:sz w:val="20"/>
          <w:szCs w:val="20"/>
        </w:rPr>
      </w:pPr>
    </w:p>
    <w:p w14:paraId="2391313A" w14:textId="5FDD6366" w:rsidR="00B74F98" w:rsidRPr="00536930" w:rsidRDefault="00DB45D8" w:rsidP="00865FC1">
      <w:pPr>
        <w:spacing w:line="233" w:lineRule="auto"/>
        <w:rPr>
          <w:rFonts w:cstheme="minorHAnsi"/>
          <w:sz w:val="20"/>
          <w:szCs w:val="20"/>
        </w:rPr>
      </w:pPr>
      <w:r>
        <w:rPr>
          <w:rStyle w:val="Emphasis"/>
          <w:b/>
          <w:i w:val="0"/>
          <w:sz w:val="20"/>
          <w:bdr w:val="none" w:sz="0" w:space="0" w:color="auto" w:frame="1"/>
          <w:shd w:val="clear" w:color="auto" w:fill="FFFFFF"/>
        </w:rPr>
        <w:t>Beleggingsstrategie voor het Fonds.</w:t>
      </w:r>
      <w:r>
        <w:rPr>
          <w:rStyle w:val="Emphasis"/>
          <w:b/>
          <w:color w:val="005D9F"/>
          <w:sz w:val="20"/>
          <w:bdr w:val="none" w:sz="0" w:space="0" w:color="auto" w:frame="1"/>
          <w:shd w:val="clear" w:color="auto" w:fill="FFFFFF"/>
        </w:rPr>
        <w:t xml:space="preserve"> </w:t>
      </w:r>
      <w:r>
        <w:rPr>
          <w:sz w:val="20"/>
        </w:rPr>
        <w:t>Het Fonds belegt voornamelijk in aandelen van Zwitserse bedrijven die genoteerd staan in de SPI-index en luiden in CHF. Het universum waarin belegd kan worden, zal naar verwachting ongeveer 80-100 aandelen omvatten. De portefeuille bestaat voornamelijk uit twee activaklassen, met name cash en aandelen en bestaat bijna exclusief uit individuele aandelen.</w:t>
      </w:r>
    </w:p>
    <w:p w14:paraId="731C0062" w14:textId="1E7A18A3" w:rsidR="00536930" w:rsidRDefault="00DB45D8" w:rsidP="00865FC1">
      <w:pPr>
        <w:spacing w:line="233" w:lineRule="auto"/>
        <w:rPr>
          <w:rStyle w:val="Emphasis"/>
          <w:rFonts w:cstheme="minorHAnsi"/>
          <w:i w:val="0"/>
          <w:iCs w:val="0"/>
          <w:sz w:val="20"/>
          <w:szCs w:val="20"/>
        </w:rPr>
      </w:pPr>
      <w:r>
        <w:rPr>
          <w:sz w:val="20"/>
        </w:rPr>
        <w:t xml:space="preserve"> </w:t>
      </w:r>
      <w:r>
        <w:rPr>
          <w:rStyle w:val="Emphasis"/>
          <w:b/>
          <w:i w:val="0"/>
          <w:sz w:val="20"/>
          <w:bdr w:val="none" w:sz="0" w:space="0" w:color="auto" w:frame="1"/>
          <w:shd w:val="clear" w:color="auto" w:fill="FFFFFF"/>
        </w:rPr>
        <w:t>Methodologieën die worden gebruikt om te meten in hoeverre de sociale of ecologische kenmerken werden bereikt</w:t>
      </w:r>
      <w:r>
        <w:rPr>
          <w:rStyle w:val="Emphasis"/>
          <w:b/>
          <w:color w:val="005D9F"/>
          <w:sz w:val="20"/>
          <w:bdr w:val="none" w:sz="0" w:space="0" w:color="auto" w:frame="1"/>
          <w:shd w:val="clear" w:color="auto" w:fill="FFFFFF"/>
        </w:rPr>
        <w:t xml:space="preserve">- </w:t>
      </w:r>
      <w:r>
        <w:rPr>
          <w:sz w:val="20"/>
        </w:rPr>
        <w:t xml:space="preserve">Het Fonds promoot ecologische of sociale kenmerken door te beleggen in instrumenten die voldoen aan de eigen ratingmethodologie voor duurzame beleggingen van de Beleggingsbeheerder (de “Duurzame Beleggingsmethodologie”). De Duurzame Beleggingsmethodologie is gestructureerd in drie niveaus: </w:t>
      </w:r>
      <w:r>
        <w:rPr>
          <w:sz w:val="20"/>
        </w:rPr>
        <w:br/>
        <w:t xml:space="preserve">(1) het eerste niveau is het verzamelen van onverwerkte ESG-data van verschillende externe dataleveranciers, evenals intern thematisch onderzoek met betrekking tot beleggingsthema's die zijn gekoppeld aan duurzame doelstellingen; (2) vervolgens worden bepaalde thematische scores berekend op basis van de onverwerkte ESG-data en het interne thematische onderzoek; (3) op het laatste niveau worden vier verschillende ESG-categorieën afgeleid op basis van een combinatie van de thematische scores en bepaalde indicatoren (verwerkte ESG-data, zoals ratings) die rechtstreeks worden verstrekt door verschillende ESG-dataleveranciers. Uit dit proces komen vier ESG-categorieën voort: </w:t>
      </w:r>
      <w:r>
        <w:rPr>
          <w:i/>
          <w:sz w:val="20"/>
        </w:rPr>
        <w:t>“ESG-risico”, “Traditioneel”, “Verantwoord”</w:t>
      </w:r>
      <w:r>
        <w:rPr>
          <w:sz w:val="20"/>
        </w:rPr>
        <w:t xml:space="preserve"> en </w:t>
      </w:r>
      <w:r>
        <w:rPr>
          <w:i/>
          <w:sz w:val="20"/>
        </w:rPr>
        <w:t>“Duurzaam”</w:t>
      </w:r>
      <w:r>
        <w:rPr>
          <w:sz w:val="20"/>
        </w:rPr>
        <w:t>.</w:t>
      </w:r>
      <w:r>
        <w:rPr>
          <w:rStyle w:val="Emphasis"/>
          <w:i w:val="0"/>
          <w:sz w:val="20"/>
          <w:bdr w:val="none" w:sz="0" w:space="0" w:color="auto" w:frame="1"/>
          <w:shd w:val="clear" w:color="auto" w:fill="FFFFFF"/>
        </w:rPr>
        <w:t xml:space="preserve">  </w:t>
      </w:r>
      <w:r>
        <w:rPr>
          <w:rStyle w:val="Emphasis"/>
          <w:i w:val="0"/>
          <w:sz w:val="20"/>
          <w:bdr w:val="none" w:sz="0" w:space="0" w:color="auto" w:frame="1"/>
          <w:shd w:val="clear" w:color="auto" w:fill="FFFFFF"/>
        </w:rPr>
        <w:br/>
      </w:r>
      <w:r>
        <w:rPr>
          <w:rStyle w:val="Emphasis"/>
          <w:b/>
          <w:i w:val="0"/>
          <w:color w:val="005D9F"/>
          <w:sz w:val="20"/>
          <w:bdr w:val="none" w:sz="0" w:space="0" w:color="auto" w:frame="1"/>
          <w:shd w:val="clear" w:color="auto" w:fill="FFFFFF"/>
        </w:rPr>
        <w:br/>
      </w:r>
      <w:r>
        <w:rPr>
          <w:rStyle w:val="Emphasis"/>
          <w:b/>
          <w:i w:val="0"/>
          <w:sz w:val="20"/>
          <w:bdr w:val="none" w:sz="0" w:space="0" w:color="auto" w:frame="1"/>
          <w:shd w:val="clear" w:color="auto" w:fill="FFFFFF"/>
        </w:rPr>
        <w:t>Proportie van beleggingen met ecologische/sociale kenmerken</w:t>
      </w:r>
      <w:r>
        <w:rPr>
          <w:rStyle w:val="Emphasis"/>
          <w:i w:val="0"/>
          <w:sz w:val="20"/>
        </w:rPr>
        <w:t xml:space="preserve">-Minstens 70% van de activa van het Fonds wordt altijd belegd in financiële instrumenten die door de Beleggingsbeheerder als Verantwoord of Duurzaam zijn geclassificeerd. </w:t>
      </w:r>
      <w:r>
        <w:rPr>
          <w:rStyle w:val="Emphasis"/>
          <w:i w:val="0"/>
          <w:sz w:val="20"/>
        </w:rPr>
        <w:br/>
      </w:r>
      <w:r>
        <w:rPr>
          <w:rStyle w:val="Strong"/>
          <w:sz w:val="20"/>
          <w:bdr w:val="none" w:sz="0" w:space="0" w:color="auto" w:frame="1"/>
          <w:shd w:val="clear" w:color="auto" w:fill="FFFFFF"/>
        </w:rPr>
        <w:t>Bindende elementen van de Beleggingsstrategie</w:t>
      </w:r>
      <w:r>
        <w:rPr>
          <w:rStyle w:val="Strong"/>
          <w:i/>
          <w:color w:val="005D9F"/>
          <w:sz w:val="20"/>
          <w:bdr w:val="none" w:sz="0" w:space="0" w:color="auto" w:frame="1"/>
          <w:shd w:val="clear" w:color="auto" w:fill="FFFFFF"/>
        </w:rPr>
        <w:t xml:space="preserve"> </w:t>
      </w:r>
      <w:r>
        <w:rPr>
          <w:sz w:val="20"/>
        </w:rPr>
        <w:t xml:space="preserve">- Het Fonds promoot ecologische en sociale kenmerken door </w:t>
      </w:r>
      <w:r>
        <w:rPr>
          <w:rStyle w:val="Emphasis"/>
          <w:i w:val="0"/>
          <w:sz w:val="20"/>
          <w:bdr w:val="none" w:sz="0" w:space="0" w:color="auto" w:frame="1"/>
          <w:shd w:val="clear" w:color="auto" w:fill="FFFFFF"/>
        </w:rPr>
        <w:t xml:space="preserve">ten minste </w:t>
      </w:r>
      <w:r>
        <w:rPr>
          <w:rStyle w:val="Emphasis"/>
          <w:i w:val="0"/>
          <w:sz w:val="20"/>
          <w:u w:val="single"/>
          <w:bdr w:val="none" w:sz="0" w:space="0" w:color="auto" w:frame="1"/>
          <w:shd w:val="clear" w:color="auto" w:fill="FFFFFF"/>
        </w:rPr>
        <w:t>70% van de activa van het Fonds te beleggen in financiële instrumenten die door de Beleggingsbeheerder als Verantwoord of Duurzaam zijn geclassificeerd.</w:t>
      </w:r>
      <w:r>
        <w:rPr>
          <w:rStyle w:val="Emphasis"/>
          <w:i w:val="0"/>
          <w:sz w:val="20"/>
          <w:bdr w:val="none" w:sz="0" w:space="0" w:color="auto" w:frame="1"/>
          <w:shd w:val="clear" w:color="auto" w:fill="FFFFFF"/>
        </w:rPr>
        <w:t xml:space="preserve"> De resterende 30% in financiële </w:t>
      </w:r>
      <w:r>
        <w:rPr>
          <w:rStyle w:val="Emphasis"/>
          <w:i w:val="0"/>
          <w:sz w:val="20"/>
          <w:bdr w:val="none" w:sz="0" w:space="0" w:color="auto" w:frame="1"/>
          <w:shd w:val="clear" w:color="auto" w:fill="FFFFFF"/>
        </w:rPr>
        <w:lastRenderedPageBreak/>
        <w:t>instrumenten geclassificeerd als Traditioneel of</w:t>
      </w:r>
      <w:r>
        <w:rPr>
          <w:rStyle w:val="Emphasis"/>
          <w:i w:val="0"/>
          <w:sz w:val="20"/>
        </w:rPr>
        <w:t xml:space="preserve"> </w:t>
      </w:r>
      <w:r>
        <w:rPr>
          <w:rStyle w:val="Emphasis"/>
          <w:i w:val="0"/>
          <w:sz w:val="20"/>
          <w:bdr w:val="none" w:sz="0" w:space="0" w:color="auto" w:frame="1"/>
          <w:shd w:val="clear" w:color="auto" w:fill="FFFFFF"/>
        </w:rPr>
        <w:t>in financiële instrumenten waaraan de Beleggingsbeheerder geen ESG-categorie toegewezen heeft.</w:t>
      </w:r>
      <w:r>
        <w:rPr>
          <w:rStyle w:val="Emphasis"/>
          <w:i w:val="0"/>
          <w:sz w:val="20"/>
        </w:rPr>
        <w:t xml:space="preserve"> </w:t>
      </w:r>
      <w:r>
        <w:rPr>
          <w:rStyle w:val="Emphasis"/>
          <w:i w:val="0"/>
          <w:sz w:val="20"/>
          <w:bdr w:val="none" w:sz="0" w:space="0" w:color="auto" w:frame="1"/>
          <w:shd w:val="clear" w:color="auto" w:fill="FFFFFF"/>
        </w:rPr>
        <w:t>In elk instrument dat goedgekeurd is door de Uitzonderingscommissie.</w:t>
      </w:r>
    </w:p>
    <w:p w14:paraId="09D1B46C" w14:textId="4D0FF90F" w:rsidR="00B74F98" w:rsidRPr="00536930" w:rsidRDefault="00921250" w:rsidP="00865FC1">
      <w:pPr>
        <w:spacing w:line="233" w:lineRule="auto"/>
        <w:rPr>
          <w:rFonts w:cstheme="minorHAnsi"/>
          <w:sz w:val="20"/>
          <w:szCs w:val="20"/>
        </w:rPr>
      </w:pPr>
      <w:r>
        <w:rPr>
          <w:rStyle w:val="Emphasis"/>
          <w:i w:val="0"/>
          <w:sz w:val="20"/>
        </w:rPr>
        <w:br/>
      </w:r>
      <w:r>
        <w:rPr>
          <w:rStyle w:val="Emphasis"/>
          <w:b/>
          <w:i w:val="0"/>
          <w:sz w:val="20"/>
          <w:bdr w:val="none" w:sz="0" w:space="0" w:color="auto" w:frame="1"/>
          <w:shd w:val="clear" w:color="auto" w:fill="FFFFFF"/>
        </w:rPr>
        <w:t>Monitoring van de ecologische/sociale kenmerken</w:t>
      </w:r>
      <w:r>
        <w:rPr>
          <w:color w:val="000000"/>
          <w:kern w:val="0"/>
        </w:rPr>
        <w:t xml:space="preserve">- </w:t>
      </w:r>
      <w:r w:rsidRPr="00E2203D">
        <w:rPr>
          <w:color w:val="000000"/>
          <w:kern w:val="0"/>
          <w:sz w:val="20"/>
        </w:rPr>
        <w:t>De Beleggingsbeheerder heeft de beoordeling van Duurzaamheidsrisico’s geïmplementeerd in het proces van de beleggingsbeslissingen voor het Fonds, niet alleen bij de eerste due diligence in het beleggingsproces maar ook als onderdeel van de doorlopende monitoring van de beleggingen van het Fonds.</w:t>
      </w:r>
      <w:r>
        <w:rPr>
          <w:color w:val="000000"/>
          <w:kern w:val="0"/>
          <w:sz w:val="20"/>
        </w:rPr>
        <w:t xml:space="preserve"> De integratie van beoordelingen van Duurzaamheidsrisico's in feitelijke beleggingsbeslissingen is bedoeld om ervoor te zorgen dat Duurzaamheidsrisico's op dezelfde manier worden bekeken als alle andere risico's die in het besluitvormingsproces voor beleggingen worden geïntegreerd. </w:t>
      </w:r>
    </w:p>
    <w:p w14:paraId="138E30D7" w14:textId="78D2981A" w:rsidR="00B74F98" w:rsidRPr="00536930" w:rsidRDefault="001F4DA3" w:rsidP="00865FC1">
      <w:pPr>
        <w:spacing w:line="233" w:lineRule="auto"/>
        <w:rPr>
          <w:rFonts w:cstheme="minorHAnsi"/>
          <w:kern w:val="0"/>
          <w:sz w:val="20"/>
          <w:szCs w:val="20"/>
        </w:rPr>
      </w:pPr>
      <w:r>
        <w:rPr>
          <w:sz w:val="20"/>
          <w:bdr w:val="none" w:sz="0" w:space="0" w:color="auto" w:frame="1"/>
          <w:shd w:val="clear" w:color="auto" w:fill="FFFFFF"/>
        </w:rPr>
        <w:br/>
      </w:r>
      <w:r>
        <w:rPr>
          <w:rStyle w:val="Emphasis"/>
          <w:b/>
          <w:i w:val="0"/>
          <w:sz w:val="20"/>
          <w:bdr w:val="none" w:sz="0" w:space="0" w:color="auto" w:frame="1"/>
          <w:shd w:val="clear" w:color="auto" w:fill="FFFFFF"/>
        </w:rPr>
        <w:t>Beperkingen aan data en methodologieën</w:t>
      </w:r>
      <w:r>
        <w:rPr>
          <w:color w:val="000000"/>
          <w:kern w:val="0"/>
          <w:sz w:val="20"/>
        </w:rPr>
        <w:t>- De beoordeling van Duurzaamheidsrisico’s is complex en kan gebaseerd zijn op ESG-data verstrekt door externe dataleveranciers op basis van de eigen methodologieën van de dataleveranciers. ESG-data</w:t>
      </w:r>
      <w:r>
        <w:rPr>
          <w:kern w:val="0"/>
          <w:sz w:val="20"/>
        </w:rPr>
        <w:t xml:space="preserve">, waaronder ratings, zijn mogelijk niet nauwkeurig, volledig, actueel en/of continu beschikbaar en kunnen voor bepaalde emittenten moeilijk te verkrijgen zijn, afhankelijk van de mate van transparantie van de emittent en openbaar beschikbare informatie. </w:t>
      </w:r>
    </w:p>
    <w:p w14:paraId="172258C8" w14:textId="42220D9D" w:rsidR="00536930" w:rsidRDefault="006A0066" w:rsidP="00865FC1">
      <w:pPr>
        <w:spacing w:line="233" w:lineRule="auto"/>
        <w:rPr>
          <w:rFonts w:cstheme="minorHAnsi"/>
          <w:sz w:val="20"/>
          <w:szCs w:val="20"/>
        </w:rPr>
      </w:pPr>
      <w:r>
        <w:rPr>
          <w:rStyle w:val="Emphasis"/>
          <w:b/>
          <w:i w:val="0"/>
          <w:sz w:val="20"/>
          <w:bdr w:val="none" w:sz="0" w:space="0" w:color="auto" w:frame="1"/>
          <w:shd w:val="clear" w:color="auto" w:fill="FFFFFF"/>
        </w:rPr>
        <w:t>Due diligence-proces en engagement</w:t>
      </w:r>
      <w:r>
        <w:t xml:space="preserve">- </w:t>
      </w:r>
      <w:r>
        <w:rPr>
          <w:sz w:val="20"/>
        </w:rPr>
        <w:t xml:space="preserve">Elke belegging die in aanmerking komt voor belegging wordt eerst onderworpen aan due diligence door de fondsonderzoeksanalisten van de Beleggingsbeheerder, wat resulteert in een aankooplijst van goedgekeurde fondsen die alle activaklassen, regio's en specifieke thema's bestrijken. Deze aankooplijsten worden gebruikt door de Beleggingsbeheerder die vervolgens naar eigen goeddunken de individuele beleggingen selecteert voor belegging door het Fonds, volgens hetzelfde proces en dezelfde methodologie die wordt toegepast op alle beleggingen en effectenselecties om blootstelling te verkrijgen aan de verschillende activaklassen die vertegenwoordigd zijn in de tactische activa-allocatie van het Fonds. </w:t>
      </w:r>
    </w:p>
    <w:p w14:paraId="7C14FD81" w14:textId="2C4EDE58" w:rsidR="00536930" w:rsidRDefault="00141700" w:rsidP="00865FC1">
      <w:pPr>
        <w:spacing w:line="233" w:lineRule="auto"/>
        <w:rPr>
          <w:rStyle w:val="Emphasis"/>
          <w:rFonts w:cstheme="minorHAnsi"/>
          <w:i w:val="0"/>
          <w:iCs w:val="0"/>
          <w:sz w:val="20"/>
          <w:szCs w:val="20"/>
          <w:bdr w:val="none" w:sz="0" w:space="0" w:color="auto" w:frame="1"/>
          <w:shd w:val="clear" w:color="auto" w:fill="FFFFFF"/>
        </w:rPr>
      </w:pPr>
      <w:r>
        <w:rPr>
          <w:sz w:val="20"/>
        </w:rPr>
        <w:br/>
      </w:r>
      <w:r>
        <w:rPr>
          <w:rStyle w:val="Emphasis"/>
          <w:b/>
          <w:i w:val="0"/>
          <w:sz w:val="20"/>
          <w:bdr w:val="none" w:sz="0" w:space="0" w:color="auto" w:frame="1"/>
          <w:shd w:val="clear" w:color="auto" w:fill="FFFFFF"/>
        </w:rPr>
        <w:t>Impact van duurzaamheidsrisico's op het rendement van het Fonds</w:t>
      </w:r>
      <w:r>
        <w:rPr>
          <w:rStyle w:val="Emphasis"/>
          <w:sz w:val="20"/>
          <w:bdr w:val="none" w:sz="0" w:space="0" w:color="auto" w:frame="1"/>
          <w:shd w:val="clear" w:color="auto" w:fill="FFFFFF"/>
        </w:rPr>
        <w:t>- Duurzaamheidsrisicofactoren zijn over het algemeen beleggingsrisico's op middellange tot lange termijn, die zich ook op korte termijn kunnen voordoen.</w:t>
      </w:r>
      <w:r>
        <w:rPr>
          <w:rStyle w:val="Emphasis"/>
          <w:i w:val="0"/>
          <w:sz w:val="20"/>
          <w:bdr w:val="none" w:sz="0" w:space="0" w:color="auto" w:frame="1"/>
          <w:shd w:val="clear" w:color="auto" w:fill="FFFFFF"/>
        </w:rPr>
        <w:t xml:space="preserve"> Ze kunnen zich voordoen in elk van de drie dimensies: milieu, maatschappij en/of governance. Duurzaamheidsrisico's kunnen zich bijvoorbeeld voordoen als emittentspecifieke extreme verliesrisico's. Dergelijke emittentspecifieke gebeurtenissen met betrekking tot het Duurzaamheidsrisico doen zich doorgaans voor met een lage frequentie en waarschijnlijkheid, maar kunnen een grote financiële impact hebben en leiden tot een aanzienlijk financieel verlies voor het Fonds. De Beleggingsbeheerder erkent dat de blootstelling van het Fonds aan Duurzaamheidsrisico's in de loop van de tijd evolueert en zal de blootstelling van het Fonds aan deze risico's monitoren.</w:t>
      </w:r>
    </w:p>
    <w:p w14:paraId="6E264126" w14:textId="6D8A6F4F" w:rsidR="00536930" w:rsidRDefault="001F4DA3" w:rsidP="00865FC1">
      <w:pPr>
        <w:spacing w:line="233" w:lineRule="auto"/>
        <w:rPr>
          <w:rStyle w:val="Emphasis"/>
          <w:rFonts w:cstheme="minorHAnsi"/>
          <w:i w:val="0"/>
          <w:iCs w:val="0"/>
          <w:sz w:val="20"/>
          <w:szCs w:val="20"/>
          <w:bdr w:val="none" w:sz="0" w:space="0" w:color="auto" w:frame="1"/>
          <w:shd w:val="clear" w:color="auto" w:fill="FFFFFF"/>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Belangrijkste ongunstige effecten-</w:t>
      </w:r>
      <w:r>
        <w:rPr>
          <w:rStyle w:val="Emphasis"/>
          <w:i w:val="0"/>
          <w:sz w:val="20"/>
          <w:bdr w:val="none" w:sz="0" w:space="0" w:color="auto" w:frame="1"/>
          <w:shd w:val="clear" w:color="auto" w:fill="FFFFFF"/>
        </w:rPr>
        <w:t xml:space="preserve"> De Beleggingsbeheerder en de Beheerder houden geen rekening met de mogelijke ongunstige effecten van beleggingsbeslissingen op Duurzamheidsfactoren voor dit Fonds. Aangezien het Fonds geen ecologische of sociale kenmerken promoot of Duurzaam Beleggen niet als doelstelling heeft, is besloten dat de Beleggingsbeheerder en de Beheerder niet zullen proberen dergelijke ongunstige effecten op Duurzaamheidsfactoren te meten.</w:t>
      </w:r>
    </w:p>
    <w:p w14:paraId="12554B61" w14:textId="72DD08A1" w:rsidR="00FE1E2C" w:rsidRPr="00536930" w:rsidRDefault="001F4DA3" w:rsidP="00865FC1">
      <w:pPr>
        <w:spacing w:line="233" w:lineRule="auto"/>
        <w:rPr>
          <w:rFonts w:cstheme="minorHAnsi"/>
          <w:color w:val="000000" w:themeColor="text1"/>
          <w:kern w:val="0"/>
          <w:sz w:val="20"/>
          <w:szCs w:val="20"/>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Benchmark</w:t>
      </w:r>
      <w:r>
        <w:rPr>
          <w:rStyle w:val="Emphasis"/>
          <w:i w:val="0"/>
          <w:sz w:val="20"/>
          <w:bdr w:val="none" w:sz="0" w:space="0" w:color="auto" w:frame="1"/>
          <w:shd w:val="clear" w:color="auto" w:fill="FFFFFF"/>
        </w:rPr>
        <w:t xml:space="preserve">- </w:t>
      </w:r>
      <w:r>
        <w:rPr>
          <w:color w:val="000000" w:themeColor="text1"/>
          <w:kern w:val="0"/>
          <w:sz w:val="20"/>
        </w:rPr>
        <w:t xml:space="preserve">Het Fonds wordt actief beheerd door de Beleggingsbeheerder en het Fonds wordt niet beperkt door referentie aan een index. Het Fonds gebruikt een </w:t>
      </w:r>
      <w:r>
        <w:rPr>
          <w:i/>
          <w:color w:val="000000" w:themeColor="text1"/>
          <w:kern w:val="0"/>
          <w:sz w:val="20"/>
        </w:rPr>
        <w:t>benchmark, de MSCI Switzerland Net Total Return Local Index</w:t>
      </w:r>
      <w:r>
        <w:rPr>
          <w:color w:val="000000" w:themeColor="text1"/>
          <w:kern w:val="0"/>
          <w:sz w:val="20"/>
        </w:rPr>
        <w:t>, uitsluitend voor het vergelijken van de prestaties en de Beleggingsbeheerder heeft een grote mate van vrijheid om binnen de beleggingsdoelstellingen en het beleggingsbeleid van het Fonds sterk af te wijken van de componenten, wegingen en risicokenmerken van de Benchmark. De mate waarin de samenstelling en risicokenmerken van het fonds lijken op die van de benchmark, varieert met de tijd en de prestaties van het fonds kunnen wezenlijk afwijken van die van de benchmark of juist meer in lijn zijn daarmee.</w:t>
      </w:r>
    </w:p>
    <w:p w14:paraId="5FE43FB7" w14:textId="77777777" w:rsidR="00B74F98" w:rsidRPr="00536930" w:rsidRDefault="00B74F98" w:rsidP="00865FC1">
      <w:pPr>
        <w:spacing w:line="233" w:lineRule="auto"/>
        <w:rPr>
          <w:rFonts w:cstheme="minorHAnsi"/>
          <w:color w:val="000000" w:themeColor="text1"/>
          <w:kern w:val="0"/>
          <w:sz w:val="20"/>
          <w:szCs w:val="20"/>
        </w:rPr>
      </w:pPr>
    </w:p>
    <w:p w14:paraId="407B049A" w14:textId="4880A280" w:rsidR="00B74F98" w:rsidRPr="00536930" w:rsidRDefault="00B74F98" w:rsidP="00865FC1">
      <w:pPr>
        <w:spacing w:line="233" w:lineRule="auto"/>
        <w:rPr>
          <w:rFonts w:cstheme="minorHAnsi"/>
          <w:i/>
          <w:iCs/>
          <w:sz w:val="20"/>
          <w:szCs w:val="20"/>
          <w:bdr w:val="none" w:sz="0" w:space="0" w:color="auto" w:frame="1"/>
          <w:shd w:val="clear" w:color="auto" w:fill="FFFFFF"/>
        </w:rPr>
      </w:pPr>
      <w:r>
        <w:rPr>
          <w:i/>
          <w:sz w:val="20"/>
        </w:rPr>
        <w:t>Meer informatie over de beleggingstrategie die de vermogensbeheerder hanteert om de duurzame beleggingsdoelstelling van het fonds te bereiken, vindt u op: https://www.threerockcapital.com/sfdr-disclosure/</w:t>
      </w:r>
    </w:p>
    <w:sectPr w:rsidR="00B74F98" w:rsidRPr="00536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5EC7" w14:textId="77777777" w:rsidR="00FE1E2C" w:rsidRDefault="00FE1E2C" w:rsidP="00FE1E2C">
      <w:pPr>
        <w:spacing w:after="0" w:line="240" w:lineRule="auto"/>
      </w:pPr>
      <w:r>
        <w:separator/>
      </w:r>
    </w:p>
  </w:endnote>
  <w:endnote w:type="continuationSeparator" w:id="0">
    <w:p w14:paraId="3AB84A9D" w14:textId="77777777" w:rsidR="00FE1E2C" w:rsidRDefault="00FE1E2C" w:rsidP="00FE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E163" w14:textId="77777777" w:rsidR="00FE1E2C" w:rsidRDefault="00FE1E2C" w:rsidP="00FE1E2C">
      <w:pPr>
        <w:spacing w:after="0" w:line="240" w:lineRule="auto"/>
      </w:pPr>
      <w:r>
        <w:separator/>
      </w:r>
    </w:p>
  </w:footnote>
  <w:footnote w:type="continuationSeparator" w:id="0">
    <w:p w14:paraId="288D29AC" w14:textId="77777777" w:rsidR="00FE1E2C" w:rsidRDefault="00FE1E2C" w:rsidP="00FE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68D"/>
    <w:multiLevelType w:val="hybridMultilevel"/>
    <w:tmpl w:val="10B42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A241F4"/>
    <w:multiLevelType w:val="hybridMultilevel"/>
    <w:tmpl w:val="DF08E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45F1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290780">
    <w:abstractNumId w:val="2"/>
  </w:num>
  <w:num w:numId="2" w16cid:durableId="1654942476">
    <w:abstractNumId w:val="0"/>
  </w:num>
  <w:num w:numId="3" w16cid:durableId="176141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jb_classification_visible" w:val="False"/>
  </w:docVars>
  <w:rsids>
    <w:rsidRoot w:val="00FE1E2C"/>
    <w:rsid w:val="00073663"/>
    <w:rsid w:val="000B2A18"/>
    <w:rsid w:val="000E382F"/>
    <w:rsid w:val="0012117A"/>
    <w:rsid w:val="00141700"/>
    <w:rsid w:val="00170284"/>
    <w:rsid w:val="001B01ED"/>
    <w:rsid w:val="001D4A9D"/>
    <w:rsid w:val="001F4DA3"/>
    <w:rsid w:val="00203B48"/>
    <w:rsid w:val="00203EE4"/>
    <w:rsid w:val="0026415E"/>
    <w:rsid w:val="002C4B8C"/>
    <w:rsid w:val="00357BAA"/>
    <w:rsid w:val="003A2837"/>
    <w:rsid w:val="003B0D15"/>
    <w:rsid w:val="004223BB"/>
    <w:rsid w:val="00536930"/>
    <w:rsid w:val="00574BA2"/>
    <w:rsid w:val="005855A6"/>
    <w:rsid w:val="0059188E"/>
    <w:rsid w:val="005F3617"/>
    <w:rsid w:val="006A0066"/>
    <w:rsid w:val="006F7F45"/>
    <w:rsid w:val="007B4495"/>
    <w:rsid w:val="00865FC1"/>
    <w:rsid w:val="00921250"/>
    <w:rsid w:val="009510B6"/>
    <w:rsid w:val="00B547DF"/>
    <w:rsid w:val="00B67838"/>
    <w:rsid w:val="00B74F98"/>
    <w:rsid w:val="00B97422"/>
    <w:rsid w:val="00BC1AB3"/>
    <w:rsid w:val="00D355EB"/>
    <w:rsid w:val="00D54532"/>
    <w:rsid w:val="00DB45D8"/>
    <w:rsid w:val="00E2203D"/>
    <w:rsid w:val="00F37000"/>
    <w:rsid w:val="00FB3F21"/>
    <w:rsid w:val="00FE1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153DE"/>
  <w15:chartTrackingRefBased/>
  <w15:docId w15:val="{2609A00D-CEE0-4B0A-87D7-3DF6391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E2C"/>
  </w:style>
  <w:style w:type="paragraph" w:styleId="Footer">
    <w:name w:val="footer"/>
    <w:basedOn w:val="Normal"/>
    <w:link w:val="FooterChar"/>
    <w:uiPriority w:val="99"/>
    <w:unhideWhenUsed/>
    <w:rsid w:val="00FE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E2C"/>
  </w:style>
  <w:style w:type="paragraph" w:styleId="NormalWeb">
    <w:name w:val="Normal (Web)"/>
    <w:basedOn w:val="Normal"/>
    <w:uiPriority w:val="99"/>
    <w:unhideWhenUsed/>
    <w:rsid w:val="00FE1E2C"/>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Emphasis">
    <w:name w:val="Emphasis"/>
    <w:basedOn w:val="DefaultParagraphFont"/>
    <w:uiPriority w:val="20"/>
    <w:qFormat/>
    <w:rsid w:val="00FE1E2C"/>
    <w:rPr>
      <w:i/>
      <w:iCs/>
    </w:rPr>
  </w:style>
  <w:style w:type="paragraph" w:customStyle="1" w:styleId="Default">
    <w:name w:val="Default"/>
    <w:rsid w:val="00FE1E2C"/>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3A2837"/>
    <w:rPr>
      <w:b/>
      <w:bCs/>
    </w:rPr>
  </w:style>
  <w:style w:type="paragraph" w:styleId="ListParagraph">
    <w:name w:val="List Paragraph"/>
    <w:basedOn w:val="Normal"/>
    <w:uiPriority w:val="34"/>
    <w:qFormat/>
    <w:rsid w:val="006A0066"/>
    <w:pPr>
      <w:ind w:left="720"/>
      <w:contextualSpacing/>
    </w:pPr>
  </w:style>
  <w:style w:type="paragraph" w:styleId="Revision">
    <w:name w:val="Revision"/>
    <w:hidden/>
    <w:uiPriority w:val="99"/>
    <w:semiHidden/>
    <w:rsid w:val="006F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01D-79B7-4C01-8FED-EB91048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1227</Words>
  <Characters>6997</Characters>
  <Application>Microsoft Office Word</Application>
  <DocSecurity>0</DocSecurity>
  <Lines>58</Lines>
  <Paragraphs>16</Paragraphs>
  <ScaleCrop>false</ScaleCrop>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Citrolo, Giulia</dc:creator>
  <cp:keywords/>
  <dc:description/>
  <cp:lastModifiedBy>DelPinoCostan, Juan</cp:lastModifiedBy>
  <cp:revision>7</cp:revision>
  <dcterms:created xsi:type="dcterms:W3CDTF">2024-05-29T11:22:00Z</dcterms:created>
  <dcterms:modified xsi:type="dcterms:W3CDTF">2024-06-05T15:56:00Z</dcterms:modified>
  <cp:contentStatus>## JB Classification: internal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b_timestamp">
    <vt:lpwstr>2024052912150550</vt:lpwstr>
  </property>
</Properties>
</file>