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pPr>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pPr>
        <w:rPr>
          <w:b/>
          <w:bCs/>
        </w:rPr>
      </w:pPr>
    </w:p>
    <w:p w14:paraId="0367A7E7" w14:textId="4E66D032" w:rsidR="005855A6" w:rsidRDefault="00FE1E2C" w:rsidP="00880FE5">
      <w:pPr>
        <w:spacing w:line="240" w:lineRule="auto"/>
        <w:rPr>
          <w:b/>
          <w:bCs/>
        </w:rPr>
      </w:pPr>
      <w:r>
        <w:rPr>
          <w:b/>
        </w:rPr>
        <w:t xml:space="preserve">Premium Selection UCITS ICAV </w:t>
      </w:r>
    </w:p>
    <w:p w14:paraId="2DBCA78C" w14:textId="77777777" w:rsidR="005855A6" w:rsidRDefault="005855A6" w:rsidP="00880FE5">
      <w:pPr>
        <w:spacing w:line="240" w:lineRule="auto"/>
        <w:rPr>
          <w:b/>
          <w:bCs/>
        </w:rPr>
      </w:pPr>
    </w:p>
    <w:p w14:paraId="4622AC0B" w14:textId="3AA105C3" w:rsidR="00FE1E2C" w:rsidRPr="00BC1AB3" w:rsidRDefault="005855A6" w:rsidP="00880FE5">
      <w:pPr>
        <w:spacing w:line="240" w:lineRule="auto"/>
        <w:rPr>
          <w:b/>
          <w:bCs/>
        </w:rPr>
      </w:pPr>
      <w:r>
        <w:rPr>
          <w:b/>
        </w:rPr>
        <w:t>Julius Baer Edelweiss Swiss Equity – podfond zastrešovacieho fondu Premium Selection UCITS ICAV – Dokument zhrnutia zverejnených informácií podľa nariadenia SFDR – 07. 06. 2024</w:t>
      </w:r>
    </w:p>
    <w:p w14:paraId="16E6156F" w14:textId="32CA1CA9" w:rsidR="00B74F98" w:rsidRPr="00536930" w:rsidRDefault="00FE1E2C" w:rsidP="00880FE5">
      <w:pPr>
        <w:pStyle w:val="NormalWeb"/>
        <w:shd w:val="clear" w:color="auto" w:fill="FFFFFF"/>
        <w:spacing w:before="0" w:beforeAutospacing="0" w:after="0" w:afterAutospacing="0"/>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Udržateľný investičný cieľ</w:t>
      </w:r>
      <w:r>
        <w:t>– </w:t>
      </w:r>
      <w:r>
        <w:rPr>
          <w:rFonts w:asciiTheme="minorHAnsi" w:hAnsiTheme="minorHAnsi"/>
          <w:sz w:val="20"/>
        </w:rPr>
        <w:t>Fond presadzuje environmentálne alebo sociálne vlastnosti, jeho cieľom však nie sú udržateľné investície.</w:t>
      </w:r>
    </w:p>
    <w:p w14:paraId="0EF770F2" w14:textId="77777777" w:rsidR="00B74F98" w:rsidRPr="00536930" w:rsidRDefault="00B74F98" w:rsidP="00880FE5">
      <w:pPr>
        <w:pStyle w:val="NormalWeb"/>
        <w:shd w:val="clear" w:color="auto" w:fill="FFFFFF"/>
        <w:spacing w:before="0" w:beforeAutospacing="0" w:after="0" w:afterAutospacing="0"/>
        <w:textAlignment w:val="baseline"/>
        <w:rPr>
          <w:rFonts w:asciiTheme="minorHAnsi" w:hAnsiTheme="minorHAnsi" w:cstheme="minorHAnsi"/>
          <w:sz w:val="20"/>
          <w:szCs w:val="20"/>
        </w:rPr>
      </w:pPr>
    </w:p>
    <w:p w14:paraId="60ADB336" w14:textId="0EBA3C04" w:rsidR="006A0066" w:rsidRPr="00536930" w:rsidRDefault="00FE1E2C" w:rsidP="00880FE5">
      <w:pPr>
        <w:pStyle w:val="NormalWeb"/>
        <w:shd w:val="clear" w:color="auto" w:fill="FFFFFF"/>
        <w:spacing w:before="0" w:beforeAutospacing="0" w:after="0" w:afterAutospacing="0"/>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Environmentálne alebo sociálne vlastnosti fondu</w:t>
      </w:r>
      <w:r>
        <w:t>– </w:t>
      </w:r>
      <w:r w:rsidRPr="00E106EB">
        <w:rPr>
          <w:rFonts w:ascii="Calibri" w:eastAsiaTheme="minorHAnsi" w:hAnsi="Calibri" w:cs="Calibri"/>
          <w:color w:val="000000"/>
          <w:sz w:val="20"/>
          <w:lang w:eastAsia="en-US"/>
        </w:rPr>
        <w:t>Fond presadzuje tieto environmentálne a sociálne vlastnosti: *</w:t>
      </w:r>
      <w:r>
        <w:rPr>
          <w:rFonts w:asciiTheme="minorHAnsi" w:hAnsiTheme="minorHAnsi"/>
          <w:sz w:val="20"/>
        </w:rPr>
        <w:t xml:space="preserve"> Zmiernenie zmeny klímy a adaptácia na zmenu klímy; * Zachovanie biodiverzity; * Zdravé podmienky pre zamestnancov;* Dodržiavanie štandardov globálnych noriem. </w:t>
      </w:r>
    </w:p>
    <w:p w14:paraId="701A8DFC" w14:textId="77777777" w:rsidR="00B74F98" w:rsidRPr="00536930" w:rsidRDefault="00FE1E2C" w:rsidP="00880FE5">
      <w:pPr>
        <w:pStyle w:val="Default"/>
        <w:rPr>
          <w:rFonts w:cstheme="minorHAnsi"/>
          <w:sz w:val="20"/>
          <w:szCs w:val="20"/>
        </w:rPr>
      </w:pPr>
      <w:r>
        <w:rPr>
          <w:sz w:val="20"/>
        </w:rPr>
        <w:t>Fond musí v záujme zabezpečenia, že si zachová profil súvisiaci s ESG, investovať do nástrojov, ktoré spĺňajú vlastné prahové hodnoty správcu investícií podľa</w:t>
      </w:r>
      <w:r>
        <w:rPr>
          <w:b/>
          <w:sz w:val="20"/>
        </w:rPr>
        <w:t xml:space="preserve"> metodiky ratingu udržateľných investícií</w:t>
      </w:r>
      <w:r>
        <w:rPr>
          <w:sz w:val="20"/>
        </w:rPr>
        <w:t>.</w:t>
      </w:r>
    </w:p>
    <w:p w14:paraId="682E783E" w14:textId="2619686A" w:rsidR="00B74F98" w:rsidRPr="00536930" w:rsidRDefault="00DB45D8" w:rsidP="00880FE5">
      <w:pPr>
        <w:pStyle w:val="Default"/>
        <w:rPr>
          <w:rFonts w:cstheme="minorHAnsi"/>
          <w:sz w:val="20"/>
          <w:szCs w:val="20"/>
        </w:rPr>
      </w:pPr>
      <w:r>
        <w:rPr>
          <w:sz w:val="20"/>
        </w:rPr>
        <w:t>Správca používa bodovanie záležitostí v oblasti klímy, ktoré sa zaoberá otázkou emisií skleníkových plynov a expozíciou spoločnosti, do ktorej sa investuje, voči posunu smerom k emisne neutrálnemu svetu. Základom bodovania záležitostí v oblasti klímy je intenzita emisií uhlíka rozsahu 1 a rozsahu 2 (ktoré sú hlavnými ukazovateľmi nepriaznivého vplyvu) predstavujúca emisie uhlíka prispôsobené veľkosti spoločnosti, do ktorej sa investuje. Bodovanie záležitostí v oblasti prírodného kapitálu sa týka tém biodiverzity a znečisťovania a umožňuje identifikovať spoločnosti s podstatnou expozíciou voči problémom v oblasti životného prostredia mimo klímy a majú na ne vplyv. Bodovanie záležitostí v oblasti globálnych noriem sa zameriava na činnosti spoločností, do ktorých sa investuje, a ich dodržiavanie globálne uznávaných noriem ľudských práv, pracovných práv a zodpovednej obchodnej praxe. Bodovanie záležitostí v oblasti ľudského kapitálu sa týka podmienok a rozvoja zamestnancov a politík na pracovisku.</w:t>
      </w:r>
    </w:p>
    <w:p w14:paraId="3CF4B36E" w14:textId="77777777" w:rsidR="00B74F98" w:rsidRPr="00536930" w:rsidRDefault="00B74F98" w:rsidP="00880FE5">
      <w:pPr>
        <w:pStyle w:val="Default"/>
        <w:rPr>
          <w:rFonts w:cstheme="minorHAnsi"/>
          <w:sz w:val="20"/>
          <w:szCs w:val="20"/>
        </w:rPr>
      </w:pPr>
    </w:p>
    <w:p w14:paraId="2391313A" w14:textId="5FDD6366" w:rsidR="00B74F98" w:rsidRPr="00536930" w:rsidRDefault="00DB45D8" w:rsidP="00880FE5">
      <w:pPr>
        <w:spacing w:line="240" w:lineRule="auto"/>
        <w:rPr>
          <w:rFonts w:cstheme="minorHAnsi"/>
          <w:sz w:val="20"/>
          <w:szCs w:val="20"/>
        </w:rPr>
      </w:pPr>
      <w:r>
        <w:rPr>
          <w:rStyle w:val="Emphasis"/>
          <w:b/>
          <w:i w:val="0"/>
          <w:sz w:val="20"/>
          <w:bdr w:val="none" w:sz="0" w:space="0" w:color="auto" w:frame="1"/>
          <w:shd w:val="clear" w:color="auto" w:fill="FFFFFF"/>
        </w:rPr>
        <w:t>Investičná stratégia fondu.</w:t>
      </w:r>
      <w:r>
        <w:rPr>
          <w:rStyle w:val="Emphasis"/>
          <w:b/>
          <w:color w:val="005D9F"/>
          <w:sz w:val="20"/>
          <w:bdr w:val="none" w:sz="0" w:space="0" w:color="auto" w:frame="1"/>
          <w:shd w:val="clear" w:color="auto" w:fill="FFFFFF"/>
        </w:rPr>
        <w:t xml:space="preserve"> </w:t>
      </w:r>
      <w:r>
        <w:rPr>
          <w:sz w:val="20"/>
        </w:rPr>
        <w:t>Fond investuje predovšetkým do akcií švajčiarskych spoločností, ktoré sú kótované na SPI a denominované vo švajčiarskych frankoch. Očakáva sa, že investičné možnosti budú predstavovať približne 80 – 100 akcií. Portfólio zahŕňa hlavne dve triedy aktív, a to peňažné prostriedky a kapitálové cenné papiere, a tvoria ho takmer výlučne jednotlivé akcie.</w:t>
      </w:r>
    </w:p>
    <w:p w14:paraId="731C0062" w14:textId="1E7A18A3" w:rsidR="00536930" w:rsidRDefault="00DB45D8" w:rsidP="00880FE5">
      <w:pPr>
        <w:spacing w:line="240"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Metodiky používané na meranie dosiahnutia sociálnych alebo environmentálnych vlastností</w:t>
      </w:r>
      <w:r>
        <w:rPr>
          <w:sz w:val="20"/>
        </w:rPr>
        <w:t xml:space="preserve">– Fond presadzuje environmentálne alebo sociálne vlastnosti investovaním do nástrojov, ktoré spĺňajú vlastnú metodiku ratingu udržateľných investícií (ďalej len „metodika udržateľných investícií“). Metodika udržateľných investícií je štruktúrovaná na troch úrovniach: </w:t>
      </w:r>
      <w:r>
        <w:rPr>
          <w:sz w:val="20"/>
        </w:rPr>
        <w:br/>
        <w:t>(1) prvou úrovňou je zhromažďovanie nespracovaných ESG údajov od rôznych externých poskytovateľov údajov, ako aj interný tematický výskum súvisiaci s investičnými témami, ktoré sú spojené s udržateľnými cieľmi; (2) potom sa z nespracovaných ESG údajov a interného tematického výskumu vypočítajú určité tematické bodovania; (3) na konečnej úrovni sa pomocou kombinácie tematických bodovaní a určitých ukazovateľov (spracovaných ESG údajov, napr. ratingov) poskytnutých priamo rôznymi poskytovateľmi ESG údajov odvodia štyri rôzne kategórie ESG. Medzi štyri kategórie ESG odvodené od tohto procesu patria</w:t>
      </w:r>
      <w:r>
        <w:rPr>
          <w:i/>
          <w:sz w:val="20"/>
        </w:rPr>
        <w:t xml:space="preserve"> „Riziká ESG“, „Tradičné“, „Zodpovedné“ a „Udržateľné“.</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Podiel investícií s environmentálnymi alebo sociálnymi vlastnosťami</w:t>
      </w:r>
      <w:r>
        <w:rPr>
          <w:rStyle w:val="Emphasis"/>
          <w:i w:val="0"/>
          <w:sz w:val="20"/>
        </w:rPr>
        <w:t xml:space="preserve">– Minimálne 70 % aktív fondu sa musí vždy investovať do finančných nástrojov kategorizovaných správcom investícií ako zodpovedné alebo udržateľné. </w:t>
      </w:r>
      <w:r>
        <w:rPr>
          <w:rStyle w:val="Emphasis"/>
          <w:i w:val="0"/>
          <w:sz w:val="20"/>
        </w:rPr>
        <w:br/>
      </w:r>
      <w:r>
        <w:rPr>
          <w:rStyle w:val="Strong"/>
          <w:sz w:val="20"/>
          <w:bdr w:val="none" w:sz="0" w:space="0" w:color="auto" w:frame="1"/>
          <w:shd w:val="clear" w:color="auto" w:fill="FFFFFF"/>
        </w:rPr>
        <w:t>Záväzné prvky investičnej stratégie</w:t>
      </w:r>
      <w:r>
        <w:rPr>
          <w:rStyle w:val="Strong"/>
          <w:i/>
          <w:color w:val="005D9F"/>
          <w:sz w:val="20"/>
          <w:bdr w:val="none" w:sz="0" w:space="0" w:color="auto" w:frame="1"/>
          <w:shd w:val="clear" w:color="auto" w:fill="FFFFFF"/>
        </w:rPr>
        <w:t xml:space="preserve"> </w:t>
      </w:r>
      <w:r>
        <w:rPr>
          <w:sz w:val="20"/>
        </w:rPr>
        <w:t>– Fond presadzuje environmentálne a sociálne vlastnosti investovaním</w:t>
      </w:r>
      <w:r>
        <w:rPr>
          <w:rStyle w:val="Emphasis"/>
          <w:i w:val="0"/>
          <w:sz w:val="20"/>
          <w:bdr w:val="none" w:sz="0" w:space="0" w:color="auto" w:frame="1"/>
          <w:shd w:val="clear" w:color="auto" w:fill="FFFFFF"/>
        </w:rPr>
        <w:t xml:space="preserve">aspoň </w:t>
      </w:r>
      <w:r>
        <w:rPr>
          <w:rStyle w:val="Emphasis"/>
          <w:i w:val="0"/>
          <w:sz w:val="20"/>
          <w:u w:val="single"/>
          <w:bdr w:val="none" w:sz="0" w:space="0" w:color="auto" w:frame="1"/>
          <w:shd w:val="clear" w:color="auto" w:fill="FFFFFF"/>
        </w:rPr>
        <w:t xml:space="preserve">70 % aktív fondu do finančných nástrojov kategorizovaných správcom investícií ako </w:t>
      </w:r>
      <w:r>
        <w:rPr>
          <w:rStyle w:val="Emphasis"/>
          <w:i w:val="0"/>
          <w:sz w:val="20"/>
          <w:u w:val="single"/>
          <w:bdr w:val="none" w:sz="0" w:space="0" w:color="auto" w:frame="1"/>
          <w:shd w:val="clear" w:color="auto" w:fill="FFFFFF"/>
        </w:rPr>
        <w:lastRenderedPageBreak/>
        <w:t>zodpovedné alebo udržateľné.</w:t>
      </w:r>
      <w:r>
        <w:rPr>
          <w:rStyle w:val="Emphasis"/>
          <w:i w:val="0"/>
          <w:sz w:val="20"/>
          <w:bdr w:val="none" w:sz="0" w:space="0" w:color="auto" w:frame="1"/>
          <w:shd w:val="clear" w:color="auto" w:fill="FFFFFF"/>
        </w:rPr>
        <w:t xml:space="preserve"> Zostávajúcich 30 % do finančných nástrojov kategorizovaných ako tradičné alebo</w:t>
      </w:r>
      <w:r>
        <w:rPr>
          <w:rStyle w:val="Emphasis"/>
          <w:i w:val="0"/>
          <w:sz w:val="20"/>
        </w:rPr>
        <w:t xml:space="preserve"> </w:t>
      </w:r>
      <w:r>
        <w:rPr>
          <w:rStyle w:val="Emphasis"/>
          <w:i w:val="0"/>
          <w:sz w:val="20"/>
          <w:bdr w:val="none" w:sz="0" w:space="0" w:color="auto" w:frame="1"/>
          <w:shd w:val="clear" w:color="auto" w:fill="FFFFFF"/>
        </w:rPr>
        <w:t>Do finančných nástrojov, ktorým správca investícií nepridelil kategóriu ESG.</w:t>
      </w:r>
      <w:r>
        <w:rPr>
          <w:rStyle w:val="Emphasis"/>
          <w:i w:val="0"/>
          <w:sz w:val="20"/>
        </w:rPr>
        <w:t xml:space="preserve"> </w:t>
      </w:r>
      <w:r>
        <w:rPr>
          <w:rStyle w:val="Emphasis"/>
          <w:i w:val="0"/>
          <w:sz w:val="20"/>
          <w:bdr w:val="none" w:sz="0" w:space="0" w:color="auto" w:frame="1"/>
          <w:shd w:val="clear" w:color="auto" w:fill="FFFFFF"/>
        </w:rPr>
        <w:t>Do akéhokoľvek nástroja schváleného výborom pre výnimky.</w:t>
      </w:r>
    </w:p>
    <w:p w14:paraId="09D1B46C" w14:textId="4D0FF90F" w:rsidR="00B74F98" w:rsidRPr="00536930" w:rsidRDefault="00921250" w:rsidP="00880FE5">
      <w:pPr>
        <w:spacing w:line="240"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Monitorovanie environmentálnych alebo sociálnych vlastností</w:t>
      </w:r>
      <w:r>
        <w:rPr>
          <w:color w:val="000000"/>
          <w:kern w:val="0"/>
        </w:rPr>
        <w:t>– </w:t>
      </w:r>
      <w:r>
        <w:rPr>
          <w:color w:val="000000"/>
          <w:kern w:val="0"/>
          <w:sz w:val="20"/>
        </w:rPr>
        <w:t xml:space="preserve">Správca investícií vykonal posúdenie rizík ohrozujúcich udržateľnosť v rámci investičného rozhodovacieho procesu fondu, a to v počiatočnej fáze náležitej starostlivosti investičného procesu, ako aj v rámci priebežného monitorovania investícií fondu. Cieľom začlenenia posúdenia rizík ohrozujúcich udržateľnosť do aktuálnych investičných rozhodnutí je zabezpečiť, že riziká ohrozujúce udržateľnosť sa posudzujú podobne ako všetky ostatné riziká, ktoré sú začlenené do investičného rozhodovacieho procesu. </w:t>
      </w:r>
    </w:p>
    <w:p w14:paraId="138E30D7" w14:textId="78D2981A" w:rsidR="00B74F98" w:rsidRPr="00536930" w:rsidRDefault="001F4DA3" w:rsidP="00880FE5">
      <w:pPr>
        <w:spacing w:line="240"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Obmedzenia metodík a údajov</w:t>
      </w:r>
      <w:r>
        <w:rPr>
          <w:color w:val="000000"/>
          <w:kern w:val="0"/>
          <w:sz w:val="20"/>
        </w:rPr>
        <w:t xml:space="preserve">– Posúdenie rizík ohrozujúcich udržateľnosť je zložité a môže byť založené na ESG údajoch, ktoré poskytli externí poskytovatelia údajov na základe vlastných metodík poskytovateľov údajov. </w:t>
      </w:r>
      <w:r>
        <w:rPr>
          <w:kern w:val="0"/>
          <w:sz w:val="20"/>
        </w:rPr>
        <w:t xml:space="preserve">ESG údaje vrátane ratingov nemusia byť presné, úplné aktuálne ani nepretržite dostupné a pre určitých emitentov môže byť v závislosti od úrovne transparentnosti emitenta a verejne dostupných informácií ťažké ich získať. </w:t>
      </w:r>
    </w:p>
    <w:p w14:paraId="172258C8" w14:textId="42220D9D" w:rsidR="00536930" w:rsidRDefault="006A0066" w:rsidP="00880FE5">
      <w:pPr>
        <w:spacing w:line="240" w:lineRule="auto"/>
        <w:rPr>
          <w:rFonts w:cstheme="minorHAnsi"/>
          <w:sz w:val="20"/>
          <w:szCs w:val="20"/>
        </w:rPr>
      </w:pPr>
      <w:r>
        <w:rPr>
          <w:rStyle w:val="Emphasis"/>
          <w:b/>
          <w:i w:val="0"/>
          <w:sz w:val="20"/>
          <w:bdr w:val="none" w:sz="0" w:space="0" w:color="auto" w:frame="1"/>
          <w:shd w:val="clear" w:color="auto" w:fill="FFFFFF"/>
        </w:rPr>
        <w:t>Postup náležitej starostlivosti a zapájanie</w:t>
      </w:r>
      <w:r>
        <w:t>– </w:t>
      </w:r>
      <w:r>
        <w:rPr>
          <w:sz w:val="20"/>
        </w:rPr>
        <w:t xml:space="preserve">Každá investícia, ktorá sa má zvážiť na investovanie, podlieha v prvom rade náležitej starostlivosti analytikov správcu investícií, ktorí sa zaoberajú výskumom fondov, výsledkom čoho je nákupný zoznam schválených fondov pokrývajúcich všetky triedy aktív, regióny a špecifické témy. Tieto nákupné zoznamy použije správca investícií, ktorý potom vyberie jednotlivé investície na investovanie fondu podľa vlastného uváženia a podľa rovnakého postupu a metodiky, aké sa používajú na výber všetkých investícií a cenných papierov, s cieľom získať expozíciu voči rôznym triedam aktív zastúpeným v taktickej alokácii aktív fondu. </w:t>
      </w:r>
    </w:p>
    <w:p w14:paraId="7C14FD81" w14:textId="2C4EDE58" w:rsidR="00536930" w:rsidRDefault="00141700" w:rsidP="00880FE5">
      <w:pPr>
        <w:spacing w:line="240"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Vplyv rizík ohrozujúcich udržateľnosť na výnosy fondu</w:t>
      </w:r>
      <w:r>
        <w:rPr>
          <w:rStyle w:val="Emphasis"/>
          <w:color w:val="666666"/>
          <w:sz w:val="20"/>
          <w:bdr w:val="none" w:sz="0" w:space="0" w:color="auto" w:frame="1"/>
          <w:shd w:val="clear" w:color="auto" w:fill="FFFFFF"/>
        </w:rPr>
        <w:t>– </w:t>
      </w:r>
      <w:r>
        <w:rPr>
          <w:rStyle w:val="Emphasis"/>
          <w:i w:val="0"/>
          <w:sz w:val="20"/>
          <w:bdr w:val="none" w:sz="0" w:space="0" w:color="auto" w:frame="1"/>
          <w:shd w:val="clear" w:color="auto" w:fill="FFFFFF"/>
        </w:rPr>
        <w:t>Faktory rizík ohrozujúcich udržateľnosť sú vo všeobecnosti strednodobé až dlhodobé investičné riziká, ktoré sa môžu prejaviť aj v krátkodobom horizonte. Môžu sa prejaviť v ktorejkoľvek z troch dimenzií: environmentálne a sociálne riziká a/alebo riziká v oblasti správy a riadenia. Riziká ohrozujúce udržateľnosť sa môžu napríklad prejaviť ako extrémne riziká straty špecifické pre emitenta. Takéto udalosti rizík ohrozujúcich udržateľnosť špecifických pre emitenta sa zvyčajne vyskytujú s nízkou frekvenciou a pravdepodobnosťou, môžu však mať veľký finančný vplyv a v prípade fondu môžu viesť k významnej finančnej strate. Správca investícií berie na vedomie, že expozícia fondu voči rizikám ohrozujúcim udržateľnosť sa časom vyvíja, a expozíciu fondu voči týmto rizikám monitoruje.</w:t>
      </w:r>
    </w:p>
    <w:p w14:paraId="6E264126" w14:textId="6D8A6F4F" w:rsidR="00536930" w:rsidRDefault="001F4DA3" w:rsidP="00880FE5">
      <w:pPr>
        <w:spacing w:line="240"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Hlavné nepriaznivé vplyvy– </w:t>
      </w:r>
      <w:r>
        <w:rPr>
          <w:rStyle w:val="Emphasis"/>
          <w:i w:val="0"/>
          <w:sz w:val="20"/>
          <w:bdr w:val="none" w:sz="0" w:space="0" w:color="auto" w:frame="1"/>
          <w:shd w:val="clear" w:color="auto" w:fill="FFFFFF"/>
        </w:rPr>
        <w:t>Správca investícií a správca nebudú v súčasnosti zvažovať potenciálne nepriaznivé vplyvy investičných rozhodnutí na faktory udržateľnosti tohto fondu. Keďže fond nepresadzuje environmentálne ani sociálne vlastnosti ani nemá za cieľ udržateľné investície, rozhodlo sa, že správca investícií a správca sa nebudú snažiť takéto nepriaznivé vplyvy na faktory udržateľnosti merať.</w:t>
      </w:r>
    </w:p>
    <w:p w14:paraId="12554B61" w14:textId="72DD08A1" w:rsidR="00FE1E2C" w:rsidRPr="00536930" w:rsidRDefault="001F4DA3" w:rsidP="00880FE5">
      <w:pPr>
        <w:spacing w:line="240"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Referenčná hodnota</w:t>
      </w:r>
      <w:r>
        <w:rPr>
          <w:rStyle w:val="Emphasis"/>
          <w:i w:val="0"/>
          <w:sz w:val="20"/>
          <w:bdr w:val="none" w:sz="0" w:space="0" w:color="auto" w:frame="1"/>
          <w:shd w:val="clear" w:color="auto" w:fill="FFFFFF"/>
        </w:rPr>
        <w:t>– </w:t>
      </w:r>
      <w:r>
        <w:rPr>
          <w:color w:val="000000" w:themeColor="text1"/>
          <w:kern w:val="0"/>
          <w:sz w:val="20"/>
        </w:rPr>
        <w:t xml:space="preserve">Fond aktívne spravuje správca investícií a fond nie je obmedzený odkazom na žiadny index. Fond používa referenčnú hodnotu </w:t>
      </w:r>
      <w:r>
        <w:rPr>
          <w:i/>
          <w:color w:val="000000" w:themeColor="text1"/>
          <w:kern w:val="0"/>
          <w:sz w:val="20"/>
        </w:rPr>
        <w:t>MSCI Switzerland Net Total Return Local Index</w:t>
      </w:r>
      <w:r>
        <w:rPr>
          <w:color w:val="000000" w:themeColor="text1"/>
          <w:kern w:val="0"/>
          <w:sz w:val="20"/>
        </w:rPr>
        <w:t xml:space="preserve"> len na porovnanie výkonnosti a správca investícií má v rámci cieľa a investičnej politiky fondu široké možnosti odchýliť sa od zložiek, váh a rizikových charakteristík referenčnej hodnoty. Miera, do akej sa fond môže podobať zloženiu a rizikovým charakteristikám referenčnej hodnoty, sa časom bude meniť a výkonnosť fondu môže byť významne odlišná od tejto referenčnej hodnoty alebo s ňou užšie zosúladená.</w:t>
      </w:r>
    </w:p>
    <w:p w14:paraId="5FE43FB7" w14:textId="77777777" w:rsidR="00B74F98" w:rsidRPr="00536930" w:rsidRDefault="00B74F98" w:rsidP="00880FE5">
      <w:pPr>
        <w:spacing w:line="240" w:lineRule="auto"/>
        <w:rPr>
          <w:rFonts w:cstheme="minorHAnsi"/>
          <w:color w:val="000000" w:themeColor="text1"/>
          <w:kern w:val="0"/>
          <w:sz w:val="20"/>
          <w:szCs w:val="20"/>
        </w:rPr>
      </w:pPr>
    </w:p>
    <w:p w14:paraId="407B049A" w14:textId="4880A280" w:rsidR="00B74F98" w:rsidRPr="00536930" w:rsidRDefault="00B74F98" w:rsidP="00880FE5">
      <w:pPr>
        <w:spacing w:line="240" w:lineRule="auto"/>
        <w:rPr>
          <w:rFonts w:cstheme="minorHAnsi"/>
          <w:i/>
          <w:iCs/>
          <w:sz w:val="20"/>
          <w:szCs w:val="20"/>
          <w:bdr w:val="none" w:sz="0" w:space="0" w:color="auto" w:frame="1"/>
          <w:shd w:val="clear" w:color="auto" w:fill="FFFFFF"/>
        </w:rPr>
      </w:pPr>
      <w:r>
        <w:rPr>
          <w:i/>
          <w:sz w:val="20"/>
        </w:rPr>
        <w:t>Ďalšie podrobnosti o investičnej stratégii, ktorú správca investícií používa na dosiahnutie udržateľného investičného cieľa fondu, nájdete na adrese –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880FE5"/>
    <w:rsid w:val="00921250"/>
    <w:rsid w:val="009510B6"/>
    <w:rsid w:val="00B547DF"/>
    <w:rsid w:val="00B67838"/>
    <w:rsid w:val="00B74F98"/>
    <w:rsid w:val="00B97422"/>
    <w:rsid w:val="00BC1AB3"/>
    <w:rsid w:val="00D54532"/>
    <w:rsid w:val="00DB45D8"/>
    <w:rsid w:val="00E106EB"/>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4</cp:revision>
  <dcterms:created xsi:type="dcterms:W3CDTF">2024-05-29T11:22:00Z</dcterms:created>
  <dcterms:modified xsi:type="dcterms:W3CDTF">2024-06-06T10:21:00Z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